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A14" w:rsidRPr="00E21D8B" w:rsidRDefault="007518B2" w:rsidP="00CA3A14">
      <w:pPr>
        <w:jc w:val="center"/>
        <w:rPr>
          <w:rFonts w:asciiTheme="majorHAnsi" w:hAnsiTheme="majorHAnsi"/>
          <w:b/>
        </w:rPr>
      </w:pPr>
      <w:bookmarkStart w:id="0" w:name="_GoBack"/>
      <w:bookmarkEnd w:id="0"/>
      <w:r>
        <w:rPr>
          <w:rFonts w:asciiTheme="majorHAnsi" w:hAnsiTheme="majorHAnsi"/>
          <w:b/>
        </w:rPr>
        <w:t xml:space="preserve">Draft </w:t>
      </w:r>
      <w:r w:rsidR="00CA3A14" w:rsidRPr="00E21D8B">
        <w:rPr>
          <w:rFonts w:asciiTheme="majorHAnsi" w:hAnsiTheme="majorHAnsi"/>
          <w:b/>
        </w:rPr>
        <w:t>Minutes</w:t>
      </w:r>
    </w:p>
    <w:p w:rsidR="00CA3A14" w:rsidRPr="00E21D8B" w:rsidRDefault="00237E57" w:rsidP="00CA3A14">
      <w:pPr>
        <w:jc w:val="center"/>
        <w:rPr>
          <w:rFonts w:asciiTheme="majorHAnsi" w:hAnsiTheme="majorHAnsi"/>
          <w:b/>
        </w:rPr>
      </w:pPr>
      <w:r w:rsidRPr="00E21D8B">
        <w:rPr>
          <w:rFonts w:asciiTheme="majorHAnsi" w:hAnsiTheme="majorHAnsi"/>
          <w:b/>
        </w:rPr>
        <w:t>PERK</w:t>
      </w:r>
      <w:r w:rsidR="00060A38" w:rsidRPr="00E21D8B">
        <w:rPr>
          <w:rFonts w:asciiTheme="majorHAnsi" w:hAnsiTheme="majorHAnsi"/>
          <w:b/>
        </w:rPr>
        <w:t xml:space="preserve"> Work Group</w:t>
      </w:r>
    </w:p>
    <w:p w:rsidR="00CA3A14" w:rsidRPr="00E21D8B" w:rsidRDefault="007518B2" w:rsidP="00CA3A14">
      <w:pPr>
        <w:jc w:val="center"/>
        <w:rPr>
          <w:rFonts w:asciiTheme="majorHAnsi" w:hAnsiTheme="majorHAnsi"/>
          <w:b/>
        </w:rPr>
      </w:pPr>
      <w:r>
        <w:rPr>
          <w:rFonts w:asciiTheme="majorHAnsi" w:hAnsiTheme="majorHAnsi"/>
          <w:b/>
        </w:rPr>
        <w:t>November 9</w:t>
      </w:r>
      <w:r w:rsidR="00060A38" w:rsidRPr="00E21D8B">
        <w:rPr>
          <w:rFonts w:asciiTheme="majorHAnsi" w:hAnsiTheme="majorHAnsi"/>
          <w:b/>
        </w:rPr>
        <w:t>, 2015</w:t>
      </w:r>
      <w:r w:rsidR="002B6670">
        <w:rPr>
          <w:rFonts w:asciiTheme="majorHAnsi" w:hAnsiTheme="majorHAnsi"/>
          <w:b/>
        </w:rPr>
        <w:t xml:space="preserve"> Meeting</w:t>
      </w:r>
    </w:p>
    <w:p w:rsidR="00CA3A14" w:rsidRPr="00E21D8B" w:rsidRDefault="002B6670" w:rsidP="00CA3A14">
      <w:pPr>
        <w:jc w:val="center"/>
        <w:rPr>
          <w:rFonts w:asciiTheme="majorHAnsi" w:hAnsiTheme="majorHAnsi"/>
        </w:rPr>
      </w:pPr>
      <w:r>
        <w:rPr>
          <w:rFonts w:asciiTheme="majorHAnsi" w:hAnsiTheme="majorHAnsi"/>
          <w:b/>
        </w:rPr>
        <w:t>Patrick Henry Building, East Reading Room</w:t>
      </w:r>
    </w:p>
    <w:p w:rsidR="00CA3A14" w:rsidRPr="00E21D8B" w:rsidRDefault="00CA3A14" w:rsidP="00CA3A14">
      <w:pPr>
        <w:rPr>
          <w:rFonts w:asciiTheme="majorHAnsi" w:hAnsiTheme="majorHAnsi"/>
          <w:u w:val="single"/>
        </w:rPr>
      </w:pPr>
    </w:p>
    <w:p w:rsidR="00CA3A14" w:rsidRPr="00E21D8B" w:rsidRDefault="00060A38" w:rsidP="00BB1831">
      <w:pPr>
        <w:jc w:val="both"/>
        <w:rPr>
          <w:rFonts w:asciiTheme="majorHAnsi" w:hAnsiTheme="majorHAnsi"/>
          <w:b/>
          <w:u w:val="single"/>
        </w:rPr>
      </w:pPr>
      <w:r w:rsidRPr="00E21D8B">
        <w:rPr>
          <w:rFonts w:asciiTheme="majorHAnsi" w:hAnsiTheme="majorHAnsi"/>
          <w:b/>
          <w:u w:val="single"/>
        </w:rPr>
        <w:t>Work Group Members</w:t>
      </w:r>
      <w:r w:rsidR="00CA3A14" w:rsidRPr="00E21D8B">
        <w:rPr>
          <w:rFonts w:asciiTheme="majorHAnsi" w:hAnsiTheme="majorHAnsi"/>
          <w:b/>
          <w:u w:val="single"/>
        </w:rPr>
        <w:t xml:space="preserve"> Present</w:t>
      </w:r>
    </w:p>
    <w:p w:rsidR="0038254C" w:rsidRPr="00E21D8B" w:rsidRDefault="0038254C" w:rsidP="0038254C">
      <w:pPr>
        <w:rPr>
          <w:rFonts w:asciiTheme="majorHAnsi" w:hAnsiTheme="majorHAnsi"/>
        </w:rPr>
      </w:pPr>
      <w:r w:rsidRPr="00E21D8B">
        <w:rPr>
          <w:rFonts w:asciiTheme="majorHAnsi" w:hAnsiTheme="majorHAnsi"/>
        </w:rPr>
        <w:t xml:space="preserve">Nikki T. Ambrose, Lead Medicolegal Death Investigator, Office of the Chief Medical   </w:t>
      </w:r>
    </w:p>
    <w:p w:rsidR="0038254C" w:rsidRPr="00E21D8B" w:rsidRDefault="0038254C" w:rsidP="0038254C">
      <w:pPr>
        <w:rPr>
          <w:rFonts w:asciiTheme="majorHAnsi" w:hAnsiTheme="majorHAnsi"/>
        </w:rPr>
      </w:pPr>
      <w:r w:rsidRPr="00E21D8B">
        <w:rPr>
          <w:rFonts w:asciiTheme="majorHAnsi" w:hAnsiTheme="majorHAnsi"/>
        </w:rPr>
        <w:t xml:space="preserve">     Examiner, Central District</w:t>
      </w:r>
    </w:p>
    <w:p w:rsidR="0038254C" w:rsidRPr="00E21D8B" w:rsidRDefault="0038254C" w:rsidP="0038254C">
      <w:pPr>
        <w:rPr>
          <w:rFonts w:asciiTheme="majorHAnsi" w:hAnsiTheme="majorHAnsi"/>
        </w:rPr>
      </w:pPr>
      <w:r w:rsidRPr="00E21D8B">
        <w:rPr>
          <w:rFonts w:asciiTheme="majorHAnsi" w:hAnsiTheme="majorHAnsi"/>
        </w:rPr>
        <w:t>Robin L. Bostic, Director, King William and King and Queen Victim/Witness Assistance</w:t>
      </w:r>
    </w:p>
    <w:p w:rsidR="0038254C" w:rsidRPr="00E21D8B" w:rsidRDefault="0038254C" w:rsidP="0038254C">
      <w:pPr>
        <w:rPr>
          <w:rFonts w:asciiTheme="majorHAnsi" w:hAnsiTheme="majorHAnsi"/>
        </w:rPr>
      </w:pPr>
      <w:r w:rsidRPr="00E21D8B">
        <w:rPr>
          <w:rFonts w:asciiTheme="majorHAnsi" w:hAnsiTheme="majorHAnsi"/>
        </w:rPr>
        <w:t xml:space="preserve">     Program</w:t>
      </w:r>
    </w:p>
    <w:p w:rsidR="0038254C" w:rsidRPr="00E21D8B" w:rsidRDefault="0038254C" w:rsidP="0038254C">
      <w:pPr>
        <w:rPr>
          <w:rFonts w:asciiTheme="majorHAnsi" w:hAnsiTheme="majorHAnsi"/>
        </w:rPr>
      </w:pPr>
      <w:r w:rsidRPr="00E21D8B">
        <w:rPr>
          <w:rFonts w:asciiTheme="majorHAnsi" w:hAnsiTheme="majorHAnsi"/>
        </w:rPr>
        <w:t>Kristine Hall, Policy Director, Virginia Sexual and Domestic Violence Action Alliance</w:t>
      </w:r>
    </w:p>
    <w:p w:rsidR="0038254C" w:rsidRPr="00E21D8B" w:rsidRDefault="0038254C" w:rsidP="0038254C">
      <w:pPr>
        <w:rPr>
          <w:rFonts w:asciiTheme="majorHAnsi" w:hAnsiTheme="majorHAnsi"/>
        </w:rPr>
      </w:pPr>
      <w:r w:rsidRPr="00E21D8B">
        <w:rPr>
          <w:rFonts w:asciiTheme="majorHAnsi" w:hAnsiTheme="majorHAnsi"/>
        </w:rPr>
        <w:t>Linda Jackson, Director, Department of Forensic Science</w:t>
      </w:r>
    </w:p>
    <w:p w:rsidR="0038254C" w:rsidRPr="00E21D8B" w:rsidRDefault="0038254C" w:rsidP="0038254C">
      <w:pPr>
        <w:rPr>
          <w:rFonts w:asciiTheme="majorHAnsi" w:hAnsiTheme="majorHAnsi"/>
        </w:rPr>
      </w:pPr>
      <w:r w:rsidRPr="00E21D8B">
        <w:rPr>
          <w:rFonts w:asciiTheme="majorHAnsi" w:hAnsiTheme="majorHAnsi"/>
        </w:rPr>
        <w:t>Dorothy McAuliffe, First Lady of Virginia</w:t>
      </w:r>
    </w:p>
    <w:p w:rsidR="0038254C" w:rsidRPr="00E21D8B" w:rsidRDefault="0038254C" w:rsidP="0038254C">
      <w:pPr>
        <w:rPr>
          <w:rFonts w:asciiTheme="majorHAnsi" w:hAnsiTheme="majorHAnsi"/>
        </w:rPr>
      </w:pPr>
      <w:r w:rsidRPr="00E21D8B">
        <w:rPr>
          <w:rFonts w:asciiTheme="majorHAnsi" w:hAnsiTheme="majorHAnsi"/>
        </w:rPr>
        <w:t>Chief David McCoy, University of Richmond Police Department</w:t>
      </w:r>
    </w:p>
    <w:p w:rsidR="0038254C" w:rsidRPr="00E21D8B" w:rsidRDefault="0038254C" w:rsidP="0038254C">
      <w:pPr>
        <w:rPr>
          <w:rFonts w:asciiTheme="majorHAnsi" w:hAnsiTheme="majorHAnsi"/>
        </w:rPr>
      </w:pPr>
      <w:r w:rsidRPr="00E21D8B">
        <w:rPr>
          <w:rFonts w:asciiTheme="majorHAnsi" w:hAnsiTheme="majorHAnsi"/>
        </w:rPr>
        <w:t>Colette McEachin, Deputy Commonwealth’s Attorney, City of Richmond</w:t>
      </w:r>
    </w:p>
    <w:p w:rsidR="0038254C" w:rsidRPr="00E21D8B" w:rsidRDefault="0038254C" w:rsidP="0038254C">
      <w:pPr>
        <w:rPr>
          <w:rFonts w:asciiTheme="majorHAnsi" w:hAnsiTheme="majorHAnsi"/>
        </w:rPr>
      </w:pPr>
      <w:r w:rsidRPr="00E21D8B">
        <w:rPr>
          <w:rFonts w:asciiTheme="majorHAnsi" w:hAnsiTheme="majorHAnsi"/>
        </w:rPr>
        <w:t>The Honorable Brian Moran, Secretary of Public Safety and Homeland Security</w:t>
      </w:r>
      <w:r w:rsidR="0053666D" w:rsidRPr="00E21D8B">
        <w:rPr>
          <w:rFonts w:asciiTheme="majorHAnsi" w:hAnsiTheme="majorHAnsi"/>
        </w:rPr>
        <w:t>, Chair</w:t>
      </w:r>
    </w:p>
    <w:p w:rsidR="0038254C" w:rsidRPr="00E21D8B" w:rsidRDefault="0038254C" w:rsidP="0038254C">
      <w:pPr>
        <w:rPr>
          <w:rFonts w:asciiTheme="majorHAnsi" w:hAnsiTheme="majorHAnsi"/>
        </w:rPr>
      </w:pPr>
      <w:r w:rsidRPr="00E21D8B">
        <w:rPr>
          <w:rFonts w:asciiTheme="majorHAnsi" w:hAnsiTheme="majorHAnsi"/>
        </w:rPr>
        <w:t>Deputy Chief Dan Murray, Arlington County Police Department</w:t>
      </w:r>
    </w:p>
    <w:p w:rsidR="0038254C" w:rsidRPr="00E21D8B" w:rsidRDefault="0038254C" w:rsidP="0038254C">
      <w:pPr>
        <w:rPr>
          <w:rFonts w:asciiTheme="majorHAnsi" w:hAnsiTheme="majorHAnsi"/>
        </w:rPr>
      </w:pPr>
      <w:r w:rsidRPr="00E21D8B">
        <w:rPr>
          <w:rFonts w:asciiTheme="majorHAnsi" w:hAnsiTheme="majorHAnsi"/>
        </w:rPr>
        <w:t>Bonnie Price, Director, Forensic Nurse Examiners, Bon Secours St. Mary’s Hospital</w:t>
      </w:r>
    </w:p>
    <w:p w:rsidR="0038254C" w:rsidRPr="00E21D8B" w:rsidRDefault="0038254C" w:rsidP="0038254C">
      <w:pPr>
        <w:rPr>
          <w:rFonts w:asciiTheme="majorHAnsi" w:hAnsiTheme="majorHAnsi"/>
        </w:rPr>
      </w:pPr>
      <w:r w:rsidRPr="00E21D8B">
        <w:rPr>
          <w:rFonts w:asciiTheme="majorHAnsi" w:hAnsiTheme="majorHAnsi"/>
        </w:rPr>
        <w:t>Marjorie Sign</w:t>
      </w:r>
      <w:r w:rsidR="003C796F">
        <w:rPr>
          <w:rFonts w:asciiTheme="majorHAnsi" w:hAnsiTheme="majorHAnsi"/>
        </w:rPr>
        <w:t>e</w:t>
      </w:r>
      <w:r w:rsidRPr="00E21D8B">
        <w:rPr>
          <w:rFonts w:asciiTheme="majorHAnsi" w:hAnsiTheme="majorHAnsi"/>
        </w:rPr>
        <w:t>r, Legislative Vice President, Virginia NOW</w:t>
      </w:r>
    </w:p>
    <w:p w:rsidR="0038254C" w:rsidRPr="00E21D8B" w:rsidRDefault="0038254C" w:rsidP="0038254C">
      <w:pPr>
        <w:rPr>
          <w:rFonts w:asciiTheme="majorHAnsi" w:hAnsiTheme="majorHAnsi"/>
        </w:rPr>
      </w:pPr>
      <w:r w:rsidRPr="00E21D8B">
        <w:rPr>
          <w:rFonts w:asciiTheme="majorHAnsi" w:hAnsiTheme="majorHAnsi"/>
        </w:rPr>
        <w:t>The Honorable Arthur Townsend, Jr., Sheriff, Lunenburg County</w:t>
      </w:r>
    </w:p>
    <w:p w:rsidR="0038254C" w:rsidRPr="00E21D8B" w:rsidRDefault="0038254C" w:rsidP="0038254C">
      <w:pPr>
        <w:pStyle w:val="ListParagraph"/>
        <w:spacing w:after="0" w:line="240" w:lineRule="auto"/>
        <w:ind w:left="0"/>
        <w:rPr>
          <w:rFonts w:asciiTheme="majorHAnsi" w:hAnsiTheme="majorHAnsi" w:cs="Times New Roman"/>
          <w:color w:val="000000"/>
          <w:sz w:val="24"/>
          <w:szCs w:val="24"/>
        </w:rPr>
      </w:pPr>
      <w:r w:rsidRPr="00E21D8B">
        <w:rPr>
          <w:rFonts w:asciiTheme="majorHAnsi" w:hAnsiTheme="majorHAnsi" w:cs="Times New Roman"/>
          <w:sz w:val="24"/>
          <w:szCs w:val="24"/>
        </w:rPr>
        <w:t xml:space="preserve">Tom Turbeville, Esq., </w:t>
      </w:r>
      <w:r w:rsidRPr="00E21D8B">
        <w:rPr>
          <w:rFonts w:asciiTheme="majorHAnsi" w:hAnsiTheme="majorHAnsi" w:cs="Times New Roman"/>
          <w:color w:val="000000"/>
          <w:sz w:val="24"/>
          <w:szCs w:val="24"/>
        </w:rPr>
        <w:t>Yoffy &amp; Turbeville, PLC</w:t>
      </w:r>
    </w:p>
    <w:p w:rsidR="00CA3A14" w:rsidRPr="00E21D8B" w:rsidRDefault="00CA3A14">
      <w:pPr>
        <w:jc w:val="both"/>
        <w:rPr>
          <w:rFonts w:asciiTheme="majorHAnsi" w:hAnsiTheme="majorHAnsi"/>
          <w:u w:val="single"/>
        </w:rPr>
      </w:pPr>
    </w:p>
    <w:p w:rsidR="00CA3A14" w:rsidRPr="00E21D8B" w:rsidRDefault="005349EB">
      <w:pPr>
        <w:jc w:val="both"/>
        <w:rPr>
          <w:rFonts w:asciiTheme="majorHAnsi" w:hAnsiTheme="majorHAnsi"/>
          <w:b/>
          <w:u w:val="single"/>
        </w:rPr>
      </w:pPr>
      <w:r w:rsidRPr="00E21D8B">
        <w:rPr>
          <w:rFonts w:asciiTheme="majorHAnsi" w:hAnsiTheme="majorHAnsi"/>
          <w:b/>
          <w:u w:val="single"/>
        </w:rPr>
        <w:t>Work Group Member</w:t>
      </w:r>
      <w:r w:rsidR="005916F1" w:rsidRPr="00E21D8B">
        <w:rPr>
          <w:rFonts w:asciiTheme="majorHAnsi" w:hAnsiTheme="majorHAnsi"/>
          <w:b/>
          <w:u w:val="single"/>
        </w:rPr>
        <w:t>s</w:t>
      </w:r>
      <w:r w:rsidR="00CA3A14" w:rsidRPr="00E21D8B">
        <w:rPr>
          <w:rFonts w:asciiTheme="majorHAnsi" w:hAnsiTheme="majorHAnsi"/>
          <w:b/>
          <w:u w:val="single"/>
        </w:rPr>
        <w:t xml:space="preserve"> Absent</w:t>
      </w:r>
    </w:p>
    <w:p w:rsidR="00564C97" w:rsidRPr="00E21D8B" w:rsidRDefault="00564C97" w:rsidP="00564C97">
      <w:pPr>
        <w:rPr>
          <w:rFonts w:asciiTheme="majorHAnsi" w:hAnsiTheme="majorHAnsi"/>
        </w:rPr>
      </w:pPr>
      <w:r w:rsidRPr="00E21D8B">
        <w:rPr>
          <w:rFonts w:asciiTheme="majorHAnsi" w:hAnsiTheme="majorHAnsi"/>
        </w:rPr>
        <w:t>The Honorable K. Mike Fleenor, Jr., Commonwealth’s Attorney, Pulaski County</w:t>
      </w:r>
    </w:p>
    <w:p w:rsidR="005349EB" w:rsidRPr="00E21D8B" w:rsidRDefault="005349EB" w:rsidP="005349EB">
      <w:pPr>
        <w:rPr>
          <w:rFonts w:asciiTheme="majorHAnsi" w:hAnsiTheme="majorHAnsi"/>
        </w:rPr>
      </w:pPr>
      <w:r w:rsidRPr="00E21D8B">
        <w:rPr>
          <w:rFonts w:asciiTheme="majorHAnsi" w:hAnsiTheme="majorHAnsi"/>
        </w:rPr>
        <w:t>The Honorable W.Q. “Bill” Overton, Jr., Sheriff, Franklin County</w:t>
      </w:r>
    </w:p>
    <w:p w:rsidR="00060A38" w:rsidRPr="00E21D8B" w:rsidRDefault="00060A38" w:rsidP="00BB1831">
      <w:pPr>
        <w:pStyle w:val="NormalWeb"/>
        <w:shd w:val="clear" w:color="auto" w:fill="FFFFFF"/>
        <w:jc w:val="both"/>
        <w:rPr>
          <w:rFonts w:asciiTheme="majorHAnsi" w:hAnsiTheme="majorHAnsi"/>
        </w:rPr>
      </w:pPr>
    </w:p>
    <w:p w:rsidR="00CA3A14" w:rsidRPr="00E21D8B" w:rsidRDefault="00CA3A14">
      <w:pPr>
        <w:jc w:val="both"/>
        <w:rPr>
          <w:rFonts w:asciiTheme="majorHAnsi" w:hAnsiTheme="majorHAnsi"/>
          <w:b/>
          <w:u w:val="single"/>
        </w:rPr>
      </w:pPr>
      <w:r w:rsidRPr="00E21D8B">
        <w:rPr>
          <w:rFonts w:asciiTheme="majorHAnsi" w:hAnsiTheme="majorHAnsi"/>
          <w:b/>
          <w:u w:val="single"/>
        </w:rPr>
        <w:t>Staff Members Present</w:t>
      </w:r>
    </w:p>
    <w:p w:rsidR="001C1CF1" w:rsidRPr="00E21D8B" w:rsidRDefault="00E47482">
      <w:pPr>
        <w:jc w:val="both"/>
        <w:rPr>
          <w:rFonts w:asciiTheme="majorHAnsi" w:hAnsiTheme="majorHAnsi"/>
        </w:rPr>
      </w:pPr>
      <w:r w:rsidRPr="00E21D8B">
        <w:rPr>
          <w:rFonts w:asciiTheme="majorHAnsi" w:hAnsiTheme="majorHAnsi"/>
        </w:rPr>
        <w:t xml:space="preserve">Wanda </w:t>
      </w:r>
      <w:r w:rsidR="003054EB" w:rsidRPr="00E21D8B">
        <w:rPr>
          <w:rFonts w:asciiTheme="majorHAnsi" w:hAnsiTheme="majorHAnsi"/>
        </w:rPr>
        <w:t xml:space="preserve">W. </w:t>
      </w:r>
      <w:r w:rsidRPr="00E21D8B">
        <w:rPr>
          <w:rFonts w:asciiTheme="majorHAnsi" w:hAnsiTheme="majorHAnsi"/>
        </w:rPr>
        <w:t>Adkins, Office Manager</w:t>
      </w:r>
      <w:r w:rsidR="00774E86" w:rsidRPr="00E21D8B">
        <w:rPr>
          <w:rFonts w:asciiTheme="majorHAnsi" w:hAnsiTheme="majorHAnsi"/>
        </w:rPr>
        <w:t xml:space="preserve"> Senior, Department of Forensic Science</w:t>
      </w:r>
    </w:p>
    <w:p w:rsidR="00774E86" w:rsidRPr="00E21D8B" w:rsidRDefault="00774E86">
      <w:pPr>
        <w:jc w:val="both"/>
        <w:rPr>
          <w:rFonts w:asciiTheme="majorHAnsi" w:hAnsiTheme="majorHAnsi"/>
        </w:rPr>
      </w:pPr>
      <w:r w:rsidRPr="00E21D8B">
        <w:rPr>
          <w:rFonts w:asciiTheme="majorHAnsi" w:hAnsiTheme="majorHAnsi"/>
        </w:rPr>
        <w:t>Kelly Carpenter, Safe Payment Program Coordinator, Criminal Injuries Compensation Fund</w:t>
      </w:r>
    </w:p>
    <w:p w:rsidR="00774E86" w:rsidRPr="00E21D8B" w:rsidRDefault="00774E86">
      <w:pPr>
        <w:jc w:val="both"/>
        <w:rPr>
          <w:rFonts w:asciiTheme="majorHAnsi" w:hAnsiTheme="majorHAnsi"/>
        </w:rPr>
      </w:pPr>
      <w:r w:rsidRPr="00E21D8B">
        <w:rPr>
          <w:rFonts w:asciiTheme="majorHAnsi" w:hAnsiTheme="majorHAnsi"/>
        </w:rPr>
        <w:t>Victoria Cochran, Deputy Secretary of Public Safety and Homeland Security</w:t>
      </w:r>
    </w:p>
    <w:p w:rsidR="00774E86" w:rsidRPr="00E21D8B" w:rsidRDefault="001C1CF1" w:rsidP="00774E86">
      <w:pPr>
        <w:jc w:val="both"/>
        <w:rPr>
          <w:rFonts w:asciiTheme="majorHAnsi" w:hAnsiTheme="majorHAnsi"/>
        </w:rPr>
      </w:pPr>
      <w:r w:rsidRPr="00E21D8B">
        <w:rPr>
          <w:rFonts w:asciiTheme="majorHAnsi" w:hAnsiTheme="majorHAnsi"/>
        </w:rPr>
        <w:t xml:space="preserve">Amy </w:t>
      </w:r>
      <w:r w:rsidR="00BF436A" w:rsidRPr="00E21D8B">
        <w:rPr>
          <w:rFonts w:asciiTheme="majorHAnsi" w:hAnsiTheme="majorHAnsi"/>
        </w:rPr>
        <w:t xml:space="preserve">M. </w:t>
      </w:r>
      <w:r w:rsidRPr="00E21D8B">
        <w:rPr>
          <w:rFonts w:asciiTheme="majorHAnsi" w:hAnsiTheme="majorHAnsi"/>
        </w:rPr>
        <w:t>Curtis, Department Counsel</w:t>
      </w:r>
      <w:r w:rsidR="00774E86" w:rsidRPr="00E21D8B">
        <w:rPr>
          <w:rFonts w:asciiTheme="majorHAnsi" w:hAnsiTheme="majorHAnsi"/>
        </w:rPr>
        <w:t>, Department of Forensic Science</w:t>
      </w:r>
    </w:p>
    <w:p w:rsidR="00774E86" w:rsidRPr="00E21D8B" w:rsidRDefault="00774E86" w:rsidP="00774E86">
      <w:pPr>
        <w:rPr>
          <w:rFonts w:asciiTheme="majorHAnsi" w:hAnsiTheme="majorHAnsi"/>
        </w:rPr>
      </w:pPr>
      <w:r w:rsidRPr="00E21D8B">
        <w:rPr>
          <w:rFonts w:asciiTheme="majorHAnsi" w:hAnsiTheme="majorHAnsi"/>
        </w:rPr>
        <w:t xml:space="preserve">Marc Dawkins, School and Campus Safety Coordinator, Division of Law Enforcement and </w:t>
      </w:r>
    </w:p>
    <w:p w:rsidR="00774E86" w:rsidRPr="00E21D8B" w:rsidRDefault="00774E86" w:rsidP="00774E86">
      <w:pPr>
        <w:rPr>
          <w:rFonts w:asciiTheme="majorHAnsi" w:hAnsiTheme="majorHAnsi"/>
        </w:rPr>
      </w:pPr>
      <w:r w:rsidRPr="00E21D8B">
        <w:rPr>
          <w:rFonts w:asciiTheme="majorHAnsi" w:hAnsiTheme="majorHAnsi"/>
        </w:rPr>
        <w:t xml:space="preserve">     Security Services, Department of Criminal Justice Services</w:t>
      </w:r>
    </w:p>
    <w:p w:rsidR="000A65F6" w:rsidRPr="00E21D8B" w:rsidRDefault="000A65F6" w:rsidP="000A65F6">
      <w:pPr>
        <w:jc w:val="both"/>
        <w:rPr>
          <w:rFonts w:asciiTheme="majorHAnsi" w:hAnsiTheme="majorHAnsi"/>
        </w:rPr>
      </w:pPr>
      <w:r>
        <w:rPr>
          <w:rFonts w:asciiTheme="majorHAnsi" w:hAnsiTheme="majorHAnsi"/>
        </w:rPr>
        <w:t>Shannon Dion</w:t>
      </w:r>
      <w:r w:rsidRPr="00E21D8B">
        <w:rPr>
          <w:rFonts w:asciiTheme="majorHAnsi" w:hAnsiTheme="majorHAnsi"/>
        </w:rPr>
        <w:t>, Legislative Liaison, Department of Criminal Justice Services</w:t>
      </w:r>
    </w:p>
    <w:p w:rsidR="00774E86" w:rsidRPr="00E21D8B" w:rsidRDefault="002B2DAB" w:rsidP="00774E86">
      <w:pPr>
        <w:jc w:val="both"/>
        <w:rPr>
          <w:rFonts w:asciiTheme="majorHAnsi" w:hAnsiTheme="majorHAnsi"/>
        </w:rPr>
      </w:pPr>
      <w:r w:rsidRPr="00E21D8B">
        <w:rPr>
          <w:rFonts w:asciiTheme="majorHAnsi" w:hAnsiTheme="majorHAnsi"/>
        </w:rPr>
        <w:t>Katya N. Herndon, Chief Deputy Director</w:t>
      </w:r>
      <w:r w:rsidR="00774E86" w:rsidRPr="00E21D8B">
        <w:rPr>
          <w:rFonts w:asciiTheme="majorHAnsi" w:hAnsiTheme="majorHAnsi"/>
        </w:rPr>
        <w:t>, Department of Forensic Science</w:t>
      </w:r>
    </w:p>
    <w:p w:rsidR="006E2460" w:rsidRPr="00E21D8B" w:rsidRDefault="006E2460">
      <w:pPr>
        <w:jc w:val="both"/>
        <w:rPr>
          <w:rFonts w:asciiTheme="majorHAnsi" w:hAnsiTheme="majorHAnsi"/>
        </w:rPr>
      </w:pPr>
      <w:r w:rsidRPr="00E21D8B">
        <w:rPr>
          <w:rFonts w:asciiTheme="majorHAnsi" w:hAnsiTheme="majorHAnsi"/>
        </w:rPr>
        <w:t>Brad</w:t>
      </w:r>
      <w:r w:rsidR="003054EB" w:rsidRPr="00E21D8B">
        <w:rPr>
          <w:rFonts w:asciiTheme="majorHAnsi" w:hAnsiTheme="majorHAnsi"/>
        </w:rPr>
        <w:t>ford C.</w:t>
      </w:r>
      <w:r w:rsidRPr="00E21D8B">
        <w:rPr>
          <w:rFonts w:asciiTheme="majorHAnsi" w:hAnsiTheme="majorHAnsi"/>
        </w:rPr>
        <w:t xml:space="preserve"> Jenkins, Forensic Biology Program Manage</w:t>
      </w:r>
      <w:r w:rsidR="00774E86" w:rsidRPr="00E21D8B">
        <w:rPr>
          <w:rFonts w:asciiTheme="majorHAnsi" w:hAnsiTheme="majorHAnsi"/>
        </w:rPr>
        <w:t>r, Department of Forensic Science</w:t>
      </w:r>
    </w:p>
    <w:p w:rsidR="00774E86" w:rsidRDefault="00774E86">
      <w:pPr>
        <w:jc w:val="both"/>
        <w:rPr>
          <w:rFonts w:asciiTheme="majorHAnsi" w:hAnsiTheme="majorHAnsi"/>
        </w:rPr>
      </w:pPr>
      <w:r w:rsidRPr="00E21D8B">
        <w:rPr>
          <w:rFonts w:asciiTheme="majorHAnsi" w:hAnsiTheme="majorHAnsi"/>
        </w:rPr>
        <w:t>Rachel Levy, Office of the Governor</w:t>
      </w:r>
    </w:p>
    <w:p w:rsidR="000A65F6" w:rsidRDefault="000A65F6" w:rsidP="000A65F6">
      <w:pPr>
        <w:rPr>
          <w:rFonts w:asciiTheme="majorHAnsi" w:hAnsiTheme="majorHAnsi"/>
        </w:rPr>
      </w:pPr>
      <w:r>
        <w:t xml:space="preserve">Charles Quagliato, </w:t>
      </w:r>
      <w:r w:rsidRPr="00DA3031">
        <w:rPr>
          <w:rFonts w:asciiTheme="majorHAnsi" w:hAnsiTheme="majorHAnsi"/>
        </w:rPr>
        <w:t>Assistant Attorney General, Major Crimes and Emerging Threats Section</w:t>
      </w:r>
      <w:r>
        <w:rPr>
          <w:rFonts w:asciiTheme="majorHAnsi" w:hAnsiTheme="majorHAnsi"/>
        </w:rPr>
        <w:t xml:space="preserve">, </w:t>
      </w:r>
    </w:p>
    <w:p w:rsidR="000A65F6" w:rsidRPr="00DA3031" w:rsidRDefault="000A65F6" w:rsidP="000A65F6">
      <w:pPr>
        <w:rPr>
          <w:rFonts w:asciiTheme="majorHAnsi" w:hAnsiTheme="majorHAnsi"/>
        </w:rPr>
      </w:pPr>
      <w:r>
        <w:rPr>
          <w:rFonts w:asciiTheme="majorHAnsi" w:hAnsiTheme="majorHAnsi"/>
        </w:rPr>
        <w:t xml:space="preserve">     </w:t>
      </w:r>
      <w:r w:rsidRPr="00DA3031">
        <w:rPr>
          <w:rFonts w:asciiTheme="majorHAnsi" w:hAnsiTheme="majorHAnsi"/>
        </w:rPr>
        <w:t>Office of the Attorney General</w:t>
      </w:r>
    </w:p>
    <w:p w:rsidR="00E72F4A" w:rsidRPr="00E21D8B" w:rsidRDefault="00E72F4A" w:rsidP="00E72F4A">
      <w:pPr>
        <w:rPr>
          <w:rFonts w:asciiTheme="majorHAnsi" w:hAnsiTheme="majorHAnsi"/>
        </w:rPr>
      </w:pPr>
      <w:r w:rsidRPr="00E21D8B">
        <w:rPr>
          <w:rFonts w:asciiTheme="majorHAnsi" w:hAnsiTheme="majorHAnsi"/>
        </w:rPr>
        <w:t xml:space="preserve">Denise Toney, Ph.D., Director, Division of Consolidated Laboratory Services, Department of </w:t>
      </w:r>
    </w:p>
    <w:p w:rsidR="00E72F4A" w:rsidRPr="00E21D8B" w:rsidRDefault="00E72F4A" w:rsidP="00E72F4A">
      <w:pPr>
        <w:rPr>
          <w:rFonts w:asciiTheme="majorHAnsi" w:hAnsiTheme="majorHAnsi"/>
        </w:rPr>
      </w:pPr>
      <w:r w:rsidRPr="00E21D8B">
        <w:rPr>
          <w:rFonts w:asciiTheme="majorHAnsi" w:hAnsiTheme="majorHAnsi"/>
        </w:rPr>
        <w:t xml:space="preserve">     General Services</w:t>
      </w:r>
    </w:p>
    <w:p w:rsidR="00564C97" w:rsidRPr="00E21D8B" w:rsidRDefault="00564C97" w:rsidP="00564C97">
      <w:pPr>
        <w:rPr>
          <w:rFonts w:asciiTheme="majorHAnsi" w:hAnsiTheme="majorHAnsi"/>
        </w:rPr>
      </w:pPr>
      <w:r w:rsidRPr="00E21D8B">
        <w:rPr>
          <w:rFonts w:asciiTheme="majorHAnsi" w:hAnsiTheme="majorHAnsi"/>
        </w:rPr>
        <w:t>Kristina Vadas, Violence Against Women Program Coordinator, Division of</w:t>
      </w:r>
    </w:p>
    <w:p w:rsidR="00564C97" w:rsidRPr="00E21D8B" w:rsidRDefault="00564C97" w:rsidP="00564C97">
      <w:pPr>
        <w:rPr>
          <w:rFonts w:asciiTheme="majorHAnsi" w:hAnsiTheme="majorHAnsi"/>
        </w:rPr>
      </w:pPr>
      <w:r w:rsidRPr="00E21D8B">
        <w:rPr>
          <w:rFonts w:asciiTheme="majorHAnsi" w:hAnsiTheme="majorHAnsi"/>
        </w:rPr>
        <w:t xml:space="preserve">     Programs and Services, Department of Criminal Justice Services</w:t>
      </w:r>
    </w:p>
    <w:p w:rsidR="00910FDF" w:rsidRDefault="00910FDF">
      <w:pPr>
        <w:rPr>
          <w:rFonts w:asciiTheme="majorHAnsi" w:hAnsiTheme="majorHAnsi"/>
          <w:b/>
          <w:u w:val="single"/>
        </w:rPr>
      </w:pPr>
      <w:r>
        <w:rPr>
          <w:rFonts w:asciiTheme="majorHAnsi" w:hAnsiTheme="majorHAnsi"/>
          <w:b/>
          <w:u w:val="single"/>
        </w:rPr>
        <w:br w:type="page"/>
      </w:r>
    </w:p>
    <w:p w:rsidR="00774E86" w:rsidRPr="00E21D8B" w:rsidRDefault="00774E86">
      <w:pPr>
        <w:jc w:val="both"/>
        <w:rPr>
          <w:rFonts w:asciiTheme="majorHAnsi" w:hAnsiTheme="majorHAnsi"/>
          <w:b/>
          <w:u w:val="single"/>
        </w:rPr>
      </w:pPr>
      <w:r w:rsidRPr="00E21D8B">
        <w:rPr>
          <w:rFonts w:asciiTheme="majorHAnsi" w:hAnsiTheme="majorHAnsi"/>
          <w:b/>
          <w:u w:val="single"/>
        </w:rPr>
        <w:lastRenderedPageBreak/>
        <w:t>Other Attendees</w:t>
      </w:r>
    </w:p>
    <w:p w:rsidR="001F4FE6" w:rsidRPr="00E21D8B" w:rsidRDefault="005916F1" w:rsidP="005916F1">
      <w:pPr>
        <w:jc w:val="both"/>
        <w:rPr>
          <w:rFonts w:asciiTheme="majorHAnsi" w:hAnsiTheme="majorHAnsi"/>
        </w:rPr>
      </w:pPr>
      <w:r w:rsidRPr="00E21D8B">
        <w:rPr>
          <w:rFonts w:asciiTheme="majorHAnsi" w:hAnsiTheme="majorHAnsi"/>
        </w:rPr>
        <w:t>Lisa Furr, GEAP Program Coordinator, Office of the Attorney General</w:t>
      </w:r>
    </w:p>
    <w:p w:rsidR="005916F1" w:rsidRPr="00E21D8B" w:rsidRDefault="000A65F6" w:rsidP="005916F1">
      <w:pPr>
        <w:jc w:val="both"/>
        <w:rPr>
          <w:rFonts w:asciiTheme="majorHAnsi" w:hAnsiTheme="majorHAnsi"/>
        </w:rPr>
      </w:pPr>
      <w:r>
        <w:rPr>
          <w:rFonts w:asciiTheme="majorHAnsi" w:hAnsiTheme="majorHAnsi"/>
        </w:rPr>
        <w:t>Mary Fraser</w:t>
      </w:r>
      <w:r w:rsidR="005916F1" w:rsidRPr="00E21D8B">
        <w:rPr>
          <w:rFonts w:asciiTheme="majorHAnsi" w:hAnsiTheme="majorHAnsi"/>
        </w:rPr>
        <w:t xml:space="preserve">, </w:t>
      </w:r>
      <w:r>
        <w:rPr>
          <w:rFonts w:asciiTheme="majorHAnsi" w:hAnsiTheme="majorHAnsi"/>
        </w:rPr>
        <w:t>Legislative Assistant</w:t>
      </w:r>
      <w:r w:rsidR="005916F1" w:rsidRPr="00E21D8B">
        <w:rPr>
          <w:rFonts w:asciiTheme="majorHAnsi" w:hAnsiTheme="majorHAnsi"/>
        </w:rPr>
        <w:t>, Senator Richard Black, District 13</w:t>
      </w:r>
    </w:p>
    <w:p w:rsidR="00774E86" w:rsidRPr="00E21D8B" w:rsidRDefault="00C13EEE">
      <w:pPr>
        <w:jc w:val="both"/>
        <w:rPr>
          <w:rFonts w:asciiTheme="majorHAnsi" w:hAnsiTheme="majorHAnsi"/>
          <w:b/>
          <w:u w:val="single"/>
        </w:rPr>
      </w:pPr>
      <w:r w:rsidRPr="00E21D8B">
        <w:rPr>
          <w:rFonts w:asciiTheme="majorHAnsi" w:hAnsiTheme="majorHAnsi"/>
        </w:rPr>
        <w:t>Lindsey Watson, Office of the Governor</w:t>
      </w:r>
    </w:p>
    <w:p w:rsidR="00774E86" w:rsidRPr="00E21D8B" w:rsidRDefault="00774E86">
      <w:pPr>
        <w:jc w:val="both"/>
        <w:rPr>
          <w:rFonts w:asciiTheme="majorHAnsi" w:hAnsiTheme="majorHAnsi"/>
          <w:b/>
          <w:u w:val="single"/>
        </w:rPr>
      </w:pPr>
    </w:p>
    <w:p w:rsidR="00CA3A14" w:rsidRPr="00E21D8B" w:rsidRDefault="00CA3A14">
      <w:pPr>
        <w:jc w:val="both"/>
        <w:rPr>
          <w:rFonts w:asciiTheme="majorHAnsi" w:hAnsiTheme="majorHAnsi"/>
          <w:b/>
          <w:u w:val="single"/>
        </w:rPr>
      </w:pPr>
      <w:r w:rsidRPr="00E21D8B">
        <w:rPr>
          <w:rFonts w:asciiTheme="majorHAnsi" w:hAnsiTheme="majorHAnsi"/>
          <w:b/>
          <w:u w:val="single"/>
        </w:rPr>
        <w:t>Call to Order</w:t>
      </w:r>
    </w:p>
    <w:p w:rsidR="00237E57" w:rsidRPr="00E21D8B" w:rsidRDefault="00237E57">
      <w:pPr>
        <w:jc w:val="both"/>
        <w:rPr>
          <w:rFonts w:asciiTheme="majorHAnsi" w:hAnsiTheme="majorHAnsi"/>
        </w:rPr>
      </w:pPr>
      <w:r w:rsidRPr="00E21D8B">
        <w:rPr>
          <w:rFonts w:asciiTheme="majorHAnsi" w:hAnsiTheme="majorHAnsi"/>
        </w:rPr>
        <w:t>Brian Moran</w:t>
      </w:r>
      <w:r w:rsidR="00093DFD" w:rsidRPr="00E21D8B">
        <w:rPr>
          <w:rFonts w:asciiTheme="majorHAnsi" w:hAnsiTheme="majorHAnsi"/>
        </w:rPr>
        <w:t>, C</w:t>
      </w:r>
      <w:r w:rsidR="00253D7A" w:rsidRPr="00E21D8B">
        <w:rPr>
          <w:rFonts w:asciiTheme="majorHAnsi" w:hAnsiTheme="majorHAnsi"/>
        </w:rPr>
        <w:t xml:space="preserve">hair of </w:t>
      </w:r>
      <w:r w:rsidR="00D80CA1" w:rsidRPr="00E21D8B">
        <w:rPr>
          <w:rFonts w:asciiTheme="majorHAnsi" w:hAnsiTheme="majorHAnsi"/>
        </w:rPr>
        <w:t xml:space="preserve">the </w:t>
      </w:r>
      <w:r w:rsidR="002A04DC" w:rsidRPr="00E21D8B">
        <w:rPr>
          <w:rFonts w:asciiTheme="majorHAnsi" w:hAnsiTheme="majorHAnsi"/>
        </w:rPr>
        <w:t>Physical Evidence Recovery Kit (“</w:t>
      </w:r>
      <w:r w:rsidRPr="00E21D8B">
        <w:rPr>
          <w:rFonts w:asciiTheme="majorHAnsi" w:hAnsiTheme="majorHAnsi"/>
        </w:rPr>
        <w:t>PERK</w:t>
      </w:r>
      <w:r w:rsidR="002A04DC" w:rsidRPr="00E21D8B">
        <w:rPr>
          <w:rFonts w:asciiTheme="majorHAnsi" w:hAnsiTheme="majorHAnsi"/>
        </w:rPr>
        <w:t>”)</w:t>
      </w:r>
      <w:r w:rsidRPr="00E21D8B">
        <w:rPr>
          <w:rFonts w:asciiTheme="majorHAnsi" w:hAnsiTheme="majorHAnsi"/>
        </w:rPr>
        <w:t xml:space="preserve"> Work Group</w:t>
      </w:r>
      <w:r w:rsidR="00D974EB" w:rsidRPr="00E21D8B">
        <w:rPr>
          <w:rFonts w:asciiTheme="majorHAnsi" w:hAnsiTheme="majorHAnsi"/>
        </w:rPr>
        <w:t>,</w:t>
      </w:r>
      <w:r w:rsidR="00F22F8A" w:rsidRPr="00E21D8B">
        <w:rPr>
          <w:rFonts w:asciiTheme="majorHAnsi" w:hAnsiTheme="majorHAnsi"/>
        </w:rPr>
        <w:t xml:space="preserve"> </w:t>
      </w:r>
      <w:r w:rsidR="00CA3A14" w:rsidRPr="00E21D8B">
        <w:rPr>
          <w:rFonts w:asciiTheme="majorHAnsi" w:hAnsiTheme="majorHAnsi"/>
        </w:rPr>
        <w:t xml:space="preserve">called the meeting of the </w:t>
      </w:r>
      <w:r w:rsidR="00DB6037">
        <w:rPr>
          <w:rFonts w:asciiTheme="majorHAnsi" w:hAnsiTheme="majorHAnsi"/>
        </w:rPr>
        <w:t>Work Group to order at 10:35</w:t>
      </w:r>
      <w:r w:rsidR="00CA3A14" w:rsidRPr="00E21D8B">
        <w:rPr>
          <w:rFonts w:asciiTheme="majorHAnsi" w:hAnsiTheme="majorHAnsi"/>
        </w:rPr>
        <w:t xml:space="preserve"> a.m. </w:t>
      </w:r>
      <w:r w:rsidR="0087572C" w:rsidRPr="00E21D8B">
        <w:rPr>
          <w:rFonts w:asciiTheme="majorHAnsi" w:hAnsiTheme="majorHAnsi"/>
        </w:rPr>
        <w:t>The Chair welcome</w:t>
      </w:r>
      <w:r w:rsidR="00F82B32" w:rsidRPr="00E21D8B">
        <w:rPr>
          <w:rFonts w:asciiTheme="majorHAnsi" w:hAnsiTheme="majorHAnsi"/>
        </w:rPr>
        <w:t>d</w:t>
      </w:r>
      <w:r w:rsidR="0087572C" w:rsidRPr="00E21D8B">
        <w:rPr>
          <w:rFonts w:asciiTheme="majorHAnsi" w:hAnsiTheme="majorHAnsi"/>
        </w:rPr>
        <w:t xml:space="preserve"> </w:t>
      </w:r>
      <w:r w:rsidRPr="00E21D8B">
        <w:rPr>
          <w:rFonts w:asciiTheme="majorHAnsi" w:hAnsiTheme="majorHAnsi"/>
        </w:rPr>
        <w:t xml:space="preserve">the </w:t>
      </w:r>
      <w:r w:rsidR="00CE4F0C" w:rsidRPr="00E21D8B">
        <w:rPr>
          <w:rFonts w:asciiTheme="majorHAnsi" w:hAnsiTheme="majorHAnsi"/>
        </w:rPr>
        <w:t>Work Group</w:t>
      </w:r>
      <w:r w:rsidR="00093DFD" w:rsidRPr="00E21D8B">
        <w:rPr>
          <w:rFonts w:asciiTheme="majorHAnsi" w:hAnsiTheme="majorHAnsi"/>
        </w:rPr>
        <w:t xml:space="preserve"> members</w:t>
      </w:r>
      <w:r w:rsidR="00F63D77" w:rsidRPr="00E21D8B">
        <w:rPr>
          <w:rFonts w:asciiTheme="majorHAnsi" w:hAnsiTheme="majorHAnsi"/>
        </w:rPr>
        <w:t>.</w:t>
      </w:r>
      <w:r w:rsidR="00093DFD" w:rsidRPr="00E21D8B">
        <w:rPr>
          <w:rFonts w:asciiTheme="majorHAnsi" w:hAnsiTheme="majorHAnsi"/>
        </w:rPr>
        <w:t xml:space="preserve"> </w:t>
      </w:r>
    </w:p>
    <w:p w:rsidR="00130039" w:rsidRPr="00E21D8B" w:rsidRDefault="00130039" w:rsidP="00130039">
      <w:pPr>
        <w:jc w:val="both"/>
        <w:rPr>
          <w:rFonts w:asciiTheme="majorHAnsi" w:hAnsiTheme="majorHAnsi"/>
          <w:b/>
          <w:u w:val="single"/>
        </w:rPr>
      </w:pPr>
    </w:p>
    <w:p w:rsidR="00130039" w:rsidRPr="00E21D8B" w:rsidRDefault="00130039" w:rsidP="00130039">
      <w:pPr>
        <w:jc w:val="both"/>
        <w:rPr>
          <w:rFonts w:asciiTheme="majorHAnsi" w:hAnsiTheme="majorHAnsi"/>
          <w:b/>
          <w:u w:val="single"/>
        </w:rPr>
      </w:pPr>
      <w:r w:rsidRPr="00E21D8B">
        <w:rPr>
          <w:rFonts w:asciiTheme="majorHAnsi" w:hAnsiTheme="majorHAnsi"/>
          <w:b/>
          <w:u w:val="single"/>
        </w:rPr>
        <w:t xml:space="preserve">Approval of Draft Minutes of the </w:t>
      </w:r>
      <w:r w:rsidR="001A51D6">
        <w:rPr>
          <w:rFonts w:asciiTheme="majorHAnsi" w:hAnsiTheme="majorHAnsi"/>
          <w:b/>
          <w:u w:val="single"/>
        </w:rPr>
        <w:t>October 23</w:t>
      </w:r>
      <w:r w:rsidRPr="00E21D8B">
        <w:rPr>
          <w:rFonts w:asciiTheme="majorHAnsi" w:hAnsiTheme="majorHAnsi"/>
          <w:b/>
          <w:u w:val="single"/>
        </w:rPr>
        <w:t>, 2015 Meeting</w:t>
      </w:r>
    </w:p>
    <w:p w:rsidR="00130039" w:rsidRPr="00E21D8B" w:rsidRDefault="00130039" w:rsidP="00130039">
      <w:pPr>
        <w:jc w:val="both"/>
        <w:rPr>
          <w:rFonts w:asciiTheme="majorHAnsi" w:hAnsiTheme="majorHAnsi"/>
        </w:rPr>
      </w:pPr>
      <w:r w:rsidRPr="00E21D8B">
        <w:rPr>
          <w:rFonts w:asciiTheme="majorHAnsi" w:hAnsiTheme="majorHAnsi"/>
        </w:rPr>
        <w:t>The Chair asked if there were any changes or corrections to the draft minu</w:t>
      </w:r>
      <w:r w:rsidR="00DB6037">
        <w:rPr>
          <w:rFonts w:asciiTheme="majorHAnsi" w:hAnsiTheme="majorHAnsi"/>
        </w:rPr>
        <w:t xml:space="preserve">tes from the October 23, 2015 </w:t>
      </w:r>
      <w:r w:rsidRPr="00E21D8B">
        <w:rPr>
          <w:rFonts w:asciiTheme="majorHAnsi" w:hAnsiTheme="majorHAnsi"/>
        </w:rPr>
        <w:t xml:space="preserve">meeting.  </w:t>
      </w:r>
      <w:r w:rsidR="005501ED" w:rsidRPr="00E21D8B">
        <w:rPr>
          <w:rFonts w:asciiTheme="majorHAnsi" w:hAnsiTheme="majorHAnsi"/>
        </w:rPr>
        <w:t xml:space="preserve">Being none, </w:t>
      </w:r>
      <w:r w:rsidR="00DB6037">
        <w:rPr>
          <w:rFonts w:asciiTheme="majorHAnsi" w:hAnsiTheme="majorHAnsi"/>
        </w:rPr>
        <w:t>Chief Murray</w:t>
      </w:r>
      <w:r w:rsidRPr="00E21D8B">
        <w:rPr>
          <w:rFonts w:asciiTheme="majorHAnsi" w:hAnsiTheme="majorHAnsi"/>
        </w:rPr>
        <w:t xml:space="preserve"> made a motion to adopt the minutes, which w</w:t>
      </w:r>
      <w:r w:rsidR="00DB6037">
        <w:rPr>
          <w:rFonts w:asciiTheme="majorHAnsi" w:hAnsiTheme="majorHAnsi"/>
        </w:rPr>
        <w:t>as seconded by Sheriff Townsend</w:t>
      </w:r>
      <w:r w:rsidRPr="00E21D8B">
        <w:rPr>
          <w:rFonts w:asciiTheme="majorHAnsi" w:hAnsiTheme="majorHAnsi"/>
        </w:rPr>
        <w:t xml:space="preserve"> and approved by unanimous vote.</w:t>
      </w:r>
    </w:p>
    <w:p w:rsidR="002A04DC" w:rsidRPr="00E21D8B" w:rsidRDefault="002A04DC">
      <w:pPr>
        <w:jc w:val="both"/>
        <w:rPr>
          <w:rFonts w:asciiTheme="majorHAnsi" w:hAnsiTheme="majorHAnsi"/>
        </w:rPr>
      </w:pPr>
    </w:p>
    <w:p w:rsidR="00A15844" w:rsidRDefault="00DB6037">
      <w:pPr>
        <w:jc w:val="both"/>
        <w:rPr>
          <w:rFonts w:asciiTheme="majorHAnsi" w:hAnsiTheme="majorHAnsi"/>
          <w:b/>
          <w:u w:val="single"/>
        </w:rPr>
      </w:pPr>
      <w:r>
        <w:rPr>
          <w:rFonts w:asciiTheme="majorHAnsi" w:hAnsiTheme="majorHAnsi"/>
        </w:rPr>
        <w:t xml:space="preserve"> </w:t>
      </w:r>
      <w:r>
        <w:rPr>
          <w:rFonts w:asciiTheme="majorHAnsi" w:hAnsiTheme="majorHAnsi"/>
          <w:b/>
          <w:u w:val="single"/>
        </w:rPr>
        <w:t>Review of Mandatory PERK Testing Laws</w:t>
      </w:r>
    </w:p>
    <w:p w:rsidR="00DB6037" w:rsidRPr="00DB6037" w:rsidRDefault="00DB6037">
      <w:pPr>
        <w:jc w:val="both"/>
        <w:rPr>
          <w:rFonts w:asciiTheme="majorHAnsi" w:hAnsiTheme="majorHAnsi"/>
        </w:rPr>
      </w:pPr>
      <w:r>
        <w:rPr>
          <w:rFonts w:asciiTheme="majorHAnsi" w:hAnsiTheme="majorHAnsi"/>
        </w:rPr>
        <w:t>Amy Curtis, Counsel for the Department</w:t>
      </w:r>
      <w:r w:rsidR="00B65E23">
        <w:rPr>
          <w:rFonts w:asciiTheme="majorHAnsi" w:hAnsiTheme="majorHAnsi"/>
        </w:rPr>
        <w:t xml:space="preserve"> of Forensic Science</w:t>
      </w:r>
      <w:r>
        <w:rPr>
          <w:rFonts w:asciiTheme="majorHAnsi" w:hAnsiTheme="majorHAnsi"/>
        </w:rPr>
        <w:t>, provided an overview of statutory language for ten states that have passed legislation that address</w:t>
      </w:r>
      <w:r w:rsidR="00B65E23">
        <w:rPr>
          <w:rFonts w:asciiTheme="majorHAnsi" w:hAnsiTheme="majorHAnsi"/>
        </w:rPr>
        <w:t xml:space="preserve"> issue</w:t>
      </w:r>
      <w:r>
        <w:rPr>
          <w:rFonts w:asciiTheme="majorHAnsi" w:hAnsiTheme="majorHAnsi"/>
        </w:rPr>
        <w:t xml:space="preserve">s </w:t>
      </w:r>
      <w:r w:rsidR="00B65E23">
        <w:rPr>
          <w:rFonts w:asciiTheme="majorHAnsi" w:hAnsiTheme="majorHAnsi"/>
        </w:rPr>
        <w:t xml:space="preserve">related to </w:t>
      </w:r>
      <w:r>
        <w:rPr>
          <w:rFonts w:asciiTheme="majorHAnsi" w:hAnsiTheme="majorHAnsi"/>
        </w:rPr>
        <w:t>the submission of sexual assault evidence kits</w:t>
      </w:r>
      <w:r w:rsidR="00B65E23">
        <w:rPr>
          <w:rFonts w:asciiTheme="majorHAnsi" w:hAnsiTheme="majorHAnsi"/>
        </w:rPr>
        <w:t>,</w:t>
      </w:r>
      <w:r>
        <w:rPr>
          <w:rFonts w:asciiTheme="majorHAnsi" w:hAnsiTheme="majorHAnsi"/>
        </w:rPr>
        <w:t xml:space="preserve"> including the time frame for submission to the laboratory, mandatory submission for testing and the time frame for laboratory testing.</w:t>
      </w:r>
    </w:p>
    <w:p w:rsidR="004A7FA0" w:rsidRDefault="004A7FA0" w:rsidP="0053503A">
      <w:pPr>
        <w:jc w:val="both"/>
        <w:rPr>
          <w:rFonts w:asciiTheme="majorHAnsi" w:hAnsiTheme="majorHAnsi"/>
          <w:b/>
          <w:u w:val="single"/>
        </w:rPr>
      </w:pPr>
    </w:p>
    <w:p w:rsidR="002376A7" w:rsidRPr="00E21D8B" w:rsidRDefault="00EA6602" w:rsidP="0053503A">
      <w:pPr>
        <w:jc w:val="both"/>
        <w:rPr>
          <w:rFonts w:asciiTheme="majorHAnsi" w:hAnsiTheme="majorHAnsi"/>
          <w:b/>
          <w:u w:val="single"/>
        </w:rPr>
      </w:pPr>
      <w:r w:rsidRPr="00E21D8B">
        <w:rPr>
          <w:rFonts w:asciiTheme="majorHAnsi" w:hAnsiTheme="majorHAnsi"/>
          <w:b/>
          <w:u w:val="single"/>
        </w:rPr>
        <w:t>Review, Discussion and Adoption of Recommendations</w:t>
      </w:r>
    </w:p>
    <w:p w:rsidR="00EA6602" w:rsidRPr="00E21D8B" w:rsidRDefault="003E5936" w:rsidP="0053503A">
      <w:pPr>
        <w:jc w:val="both"/>
        <w:rPr>
          <w:rFonts w:asciiTheme="majorHAnsi" w:hAnsiTheme="majorHAnsi"/>
        </w:rPr>
      </w:pPr>
      <w:r w:rsidRPr="00E21D8B">
        <w:rPr>
          <w:rFonts w:asciiTheme="majorHAnsi" w:hAnsiTheme="majorHAnsi"/>
        </w:rPr>
        <w:t xml:space="preserve">The </w:t>
      </w:r>
      <w:r w:rsidR="00F43FBB">
        <w:rPr>
          <w:rFonts w:asciiTheme="majorHAnsi" w:hAnsiTheme="majorHAnsi"/>
        </w:rPr>
        <w:t xml:space="preserve">Work Group discussed the </w:t>
      </w:r>
      <w:r w:rsidRPr="00E21D8B">
        <w:rPr>
          <w:rFonts w:asciiTheme="majorHAnsi" w:hAnsiTheme="majorHAnsi"/>
        </w:rPr>
        <w:t xml:space="preserve">recommendations </w:t>
      </w:r>
      <w:r w:rsidR="0058153B" w:rsidRPr="00E21D8B">
        <w:rPr>
          <w:rFonts w:asciiTheme="majorHAnsi" w:hAnsiTheme="majorHAnsi"/>
        </w:rPr>
        <w:t>included in the chart below</w:t>
      </w:r>
      <w:r w:rsidR="00F43FBB">
        <w:rPr>
          <w:rFonts w:asciiTheme="majorHAnsi" w:hAnsiTheme="majorHAnsi"/>
        </w:rPr>
        <w:t>, which were proposed by the Group’s four Subcommittees</w:t>
      </w:r>
      <w:r w:rsidRPr="00E21D8B">
        <w:rPr>
          <w:rFonts w:asciiTheme="majorHAnsi" w:hAnsiTheme="majorHAnsi"/>
        </w:rPr>
        <w:t>.</w:t>
      </w:r>
      <w:r w:rsidR="0058153B" w:rsidRPr="00E21D8B">
        <w:rPr>
          <w:rFonts w:asciiTheme="majorHAnsi" w:hAnsiTheme="majorHAnsi"/>
        </w:rPr>
        <w:t xml:space="preserve">  </w:t>
      </w:r>
      <w:r w:rsidR="00F43FBB">
        <w:rPr>
          <w:rFonts w:asciiTheme="majorHAnsi" w:hAnsiTheme="majorHAnsi"/>
        </w:rPr>
        <w:t xml:space="preserve">Similar recommendations from different Subcommittees are grouped together in the chart.  </w:t>
      </w:r>
      <w:r w:rsidR="0058153B" w:rsidRPr="00E21D8B">
        <w:rPr>
          <w:rFonts w:asciiTheme="majorHAnsi" w:hAnsiTheme="majorHAnsi"/>
        </w:rPr>
        <w:t>Action</w:t>
      </w:r>
      <w:r w:rsidR="00F43FBB">
        <w:rPr>
          <w:rFonts w:asciiTheme="majorHAnsi" w:hAnsiTheme="majorHAnsi"/>
        </w:rPr>
        <w:t>s</w:t>
      </w:r>
      <w:r w:rsidR="0058153B" w:rsidRPr="00E21D8B">
        <w:rPr>
          <w:rFonts w:asciiTheme="majorHAnsi" w:hAnsiTheme="majorHAnsi"/>
        </w:rPr>
        <w:t xml:space="preserve"> taken by the Work Group</w:t>
      </w:r>
      <w:r w:rsidR="002B5F06">
        <w:rPr>
          <w:rFonts w:asciiTheme="majorHAnsi" w:hAnsiTheme="majorHAnsi"/>
        </w:rPr>
        <w:t>, which were</w:t>
      </w:r>
      <w:r w:rsidR="00640DBA">
        <w:rPr>
          <w:rFonts w:asciiTheme="majorHAnsi" w:hAnsiTheme="majorHAnsi"/>
        </w:rPr>
        <w:t xml:space="preserve"> all</w:t>
      </w:r>
      <w:r w:rsidR="002B5F06">
        <w:rPr>
          <w:rFonts w:asciiTheme="majorHAnsi" w:hAnsiTheme="majorHAnsi"/>
        </w:rPr>
        <w:t xml:space="preserve"> approved without objection, are</w:t>
      </w:r>
      <w:r w:rsidR="0058153B" w:rsidRPr="00E21D8B">
        <w:rPr>
          <w:rFonts w:asciiTheme="majorHAnsi" w:hAnsiTheme="majorHAnsi"/>
        </w:rPr>
        <w:t xml:space="preserve"> noted </w:t>
      </w:r>
      <w:r w:rsidR="00ED4BE6" w:rsidRPr="00E21D8B">
        <w:rPr>
          <w:rFonts w:asciiTheme="majorHAnsi" w:hAnsiTheme="majorHAnsi"/>
        </w:rPr>
        <w:t xml:space="preserve">in the chart </w:t>
      </w:r>
      <w:r w:rsidR="0058153B" w:rsidRPr="00E21D8B">
        <w:rPr>
          <w:rFonts w:asciiTheme="majorHAnsi" w:hAnsiTheme="majorHAnsi"/>
        </w:rPr>
        <w:t xml:space="preserve">after each </w:t>
      </w:r>
      <w:r w:rsidR="00633D51">
        <w:rPr>
          <w:rFonts w:asciiTheme="majorHAnsi" w:hAnsiTheme="majorHAnsi"/>
        </w:rPr>
        <w:t xml:space="preserve">Subcommittee </w:t>
      </w:r>
      <w:r w:rsidR="0058153B" w:rsidRPr="00E21D8B">
        <w:rPr>
          <w:rFonts w:asciiTheme="majorHAnsi" w:hAnsiTheme="majorHAnsi"/>
        </w:rPr>
        <w:t>recommendation.</w:t>
      </w:r>
      <w:r w:rsidR="00633D51">
        <w:rPr>
          <w:rFonts w:asciiTheme="majorHAnsi" w:hAnsiTheme="majorHAnsi"/>
        </w:rPr>
        <w:t xml:space="preserve">  </w:t>
      </w:r>
      <w:r w:rsidR="007633B7">
        <w:rPr>
          <w:rFonts w:asciiTheme="majorHAnsi" w:hAnsiTheme="majorHAnsi"/>
        </w:rPr>
        <w:t>Some of the recommendations included in the chart were discussed and addressed at the October 23 meeting.  All recommendations have been included below</w:t>
      </w:r>
      <w:r w:rsidR="00640DBA">
        <w:rPr>
          <w:rFonts w:asciiTheme="majorHAnsi" w:hAnsiTheme="majorHAnsi"/>
        </w:rPr>
        <w:t>,</w:t>
      </w:r>
      <w:r w:rsidR="007633B7">
        <w:rPr>
          <w:rFonts w:asciiTheme="majorHAnsi" w:hAnsiTheme="majorHAnsi"/>
        </w:rPr>
        <w:t xml:space="preserve"> </w:t>
      </w:r>
      <w:r w:rsidR="00640DBA">
        <w:rPr>
          <w:rFonts w:asciiTheme="majorHAnsi" w:hAnsiTheme="majorHAnsi"/>
        </w:rPr>
        <w:t xml:space="preserve">including any </w:t>
      </w:r>
      <w:r w:rsidR="007633B7">
        <w:rPr>
          <w:rFonts w:asciiTheme="majorHAnsi" w:hAnsiTheme="majorHAnsi"/>
        </w:rPr>
        <w:t xml:space="preserve">modifications made </w:t>
      </w:r>
      <w:r w:rsidR="00640DBA">
        <w:rPr>
          <w:rFonts w:asciiTheme="majorHAnsi" w:hAnsiTheme="majorHAnsi"/>
        </w:rPr>
        <w:t>to previously adopted recommendations</w:t>
      </w:r>
      <w:r w:rsidR="007633B7">
        <w:rPr>
          <w:rFonts w:asciiTheme="majorHAnsi" w:hAnsiTheme="majorHAnsi"/>
        </w:rPr>
        <w:t>.</w:t>
      </w:r>
    </w:p>
    <w:p w:rsidR="00DE3C56" w:rsidRDefault="00DE3C56"/>
    <w:tbl>
      <w:tblPr>
        <w:tblStyle w:val="TableGrid"/>
        <w:tblW w:w="9918" w:type="dxa"/>
        <w:tblLayout w:type="fixed"/>
        <w:tblLook w:val="04A0" w:firstRow="1" w:lastRow="0" w:firstColumn="1" w:lastColumn="0" w:noHBand="0" w:noVBand="1"/>
      </w:tblPr>
      <w:tblGrid>
        <w:gridCol w:w="558"/>
        <w:gridCol w:w="7110"/>
        <w:gridCol w:w="2250"/>
      </w:tblGrid>
      <w:tr w:rsidR="00746134" w:rsidRPr="005052E0" w:rsidTr="00D758BB">
        <w:trPr>
          <w:trHeight w:val="620"/>
        </w:trPr>
        <w:tc>
          <w:tcPr>
            <w:tcW w:w="7668" w:type="dxa"/>
            <w:gridSpan w:val="2"/>
          </w:tcPr>
          <w:p w:rsidR="00746134" w:rsidRPr="002B5F06" w:rsidRDefault="00746134" w:rsidP="00D758BB">
            <w:pPr>
              <w:jc w:val="center"/>
              <w:rPr>
                <w:rFonts w:asciiTheme="majorHAnsi" w:hAnsiTheme="majorHAnsi"/>
                <w:b/>
                <w:sz w:val="12"/>
                <w:szCs w:val="12"/>
              </w:rPr>
            </w:pPr>
          </w:p>
          <w:p w:rsidR="00746134" w:rsidRPr="005052E0" w:rsidRDefault="00746134" w:rsidP="00D758BB">
            <w:pPr>
              <w:jc w:val="center"/>
              <w:rPr>
                <w:rFonts w:asciiTheme="majorHAnsi" w:hAnsiTheme="majorHAnsi"/>
                <w:b/>
              </w:rPr>
            </w:pPr>
            <w:r w:rsidRPr="005052E0">
              <w:rPr>
                <w:rFonts w:asciiTheme="majorHAnsi" w:hAnsiTheme="majorHAnsi"/>
                <w:b/>
              </w:rPr>
              <w:t>PROPOSED RECOMMENDATION</w:t>
            </w:r>
          </w:p>
        </w:tc>
        <w:tc>
          <w:tcPr>
            <w:tcW w:w="2250" w:type="dxa"/>
          </w:tcPr>
          <w:p w:rsidR="00746134" w:rsidRPr="00633D51" w:rsidRDefault="00746134" w:rsidP="00D758BB">
            <w:pPr>
              <w:rPr>
                <w:rFonts w:asciiTheme="majorHAnsi" w:hAnsiTheme="majorHAnsi"/>
                <w:b/>
                <w:sz w:val="16"/>
                <w:szCs w:val="16"/>
              </w:rPr>
            </w:pPr>
            <w:r w:rsidRPr="005052E0">
              <w:rPr>
                <w:rFonts w:asciiTheme="majorHAnsi" w:hAnsiTheme="majorHAnsi"/>
                <w:b/>
              </w:rPr>
              <w:t xml:space="preserve"> </w:t>
            </w:r>
          </w:p>
          <w:p w:rsidR="00746134" w:rsidRPr="005052E0" w:rsidRDefault="00746134" w:rsidP="00D758BB">
            <w:pPr>
              <w:jc w:val="center"/>
              <w:rPr>
                <w:rFonts w:asciiTheme="majorHAnsi" w:hAnsiTheme="majorHAnsi"/>
                <w:b/>
              </w:rPr>
            </w:pPr>
            <w:r w:rsidRPr="005052E0">
              <w:rPr>
                <w:rFonts w:asciiTheme="majorHAnsi" w:hAnsiTheme="majorHAnsi"/>
                <w:b/>
              </w:rPr>
              <w:t>SUBCOMMITTEE</w:t>
            </w:r>
          </w:p>
          <w:p w:rsidR="00746134" w:rsidRPr="002B5F06" w:rsidRDefault="00746134" w:rsidP="00D758BB">
            <w:pPr>
              <w:rPr>
                <w:rFonts w:asciiTheme="majorHAnsi" w:hAnsiTheme="majorHAnsi"/>
                <w:b/>
                <w:sz w:val="12"/>
                <w:szCs w:val="12"/>
              </w:rPr>
            </w:pPr>
          </w:p>
        </w:tc>
      </w:tr>
      <w:tr w:rsidR="00746134" w:rsidRPr="005052E0" w:rsidTr="00D758BB">
        <w:tc>
          <w:tcPr>
            <w:tcW w:w="558" w:type="dxa"/>
          </w:tcPr>
          <w:p w:rsidR="00746134" w:rsidRPr="005052E0" w:rsidRDefault="00746134" w:rsidP="00D758BB">
            <w:pPr>
              <w:rPr>
                <w:rFonts w:asciiTheme="majorHAnsi" w:hAnsiTheme="majorHAnsi"/>
              </w:rPr>
            </w:pPr>
            <w:r w:rsidRPr="005052E0">
              <w:rPr>
                <w:rFonts w:asciiTheme="majorHAnsi" w:hAnsiTheme="majorHAnsi"/>
              </w:rPr>
              <w:t>1</w:t>
            </w:r>
          </w:p>
        </w:tc>
        <w:tc>
          <w:tcPr>
            <w:tcW w:w="7110" w:type="dxa"/>
          </w:tcPr>
          <w:p w:rsidR="00746134" w:rsidRPr="005052E0" w:rsidRDefault="00746134" w:rsidP="00D758BB">
            <w:pPr>
              <w:rPr>
                <w:rFonts w:asciiTheme="majorHAnsi" w:hAnsiTheme="majorHAnsi"/>
              </w:rPr>
            </w:pPr>
            <w:r w:rsidRPr="005052E0">
              <w:rPr>
                <w:rFonts w:asciiTheme="majorHAnsi" w:hAnsiTheme="majorHAnsi"/>
              </w:rPr>
              <w:t xml:space="preserve">The existing consent form (i.e., Consent for the Storage of PERK for Non-Reported Sexual Assaults) should be reviewed and edited, as needed, in consultation with DCLS, DFS, </w:t>
            </w:r>
            <w:r w:rsidR="00B65E23">
              <w:rPr>
                <w:rFonts w:asciiTheme="majorHAnsi" w:hAnsiTheme="majorHAnsi"/>
              </w:rPr>
              <w:t>f</w:t>
            </w:r>
            <w:r w:rsidRPr="005052E0">
              <w:rPr>
                <w:rFonts w:asciiTheme="majorHAnsi" w:hAnsiTheme="majorHAnsi"/>
              </w:rPr>
              <w:t xml:space="preserve">orensic </w:t>
            </w:r>
            <w:r w:rsidR="00B65E23">
              <w:rPr>
                <w:rFonts w:asciiTheme="majorHAnsi" w:hAnsiTheme="majorHAnsi"/>
              </w:rPr>
              <w:t>n</w:t>
            </w:r>
            <w:r w:rsidRPr="005052E0">
              <w:rPr>
                <w:rFonts w:asciiTheme="majorHAnsi" w:hAnsiTheme="majorHAnsi"/>
              </w:rPr>
              <w:t>urses and other stakeholders.  The form should be included in the PERK.</w:t>
            </w:r>
          </w:p>
          <w:p w:rsidR="00746134" w:rsidRPr="00640DBA" w:rsidRDefault="00746134" w:rsidP="00D758BB">
            <w:pPr>
              <w:rPr>
                <w:rFonts w:asciiTheme="majorHAnsi" w:hAnsiTheme="majorHAnsi"/>
                <w:u w:val="single"/>
              </w:rPr>
            </w:pPr>
          </w:p>
          <w:p w:rsidR="00746134" w:rsidRPr="005052E0" w:rsidRDefault="00746134" w:rsidP="00D758BB">
            <w:pPr>
              <w:rPr>
                <w:rFonts w:asciiTheme="majorHAnsi" w:hAnsiTheme="majorHAnsi"/>
              </w:rPr>
            </w:pPr>
            <w:r w:rsidRPr="005052E0">
              <w:rPr>
                <w:rFonts w:asciiTheme="majorHAnsi" w:hAnsiTheme="majorHAnsi"/>
                <w:u w:val="single"/>
              </w:rPr>
              <w:t>Adopted as follows</w:t>
            </w:r>
            <w:r>
              <w:rPr>
                <w:rFonts w:asciiTheme="majorHAnsi" w:hAnsiTheme="majorHAnsi"/>
                <w:u w:val="single"/>
              </w:rPr>
              <w:t>:</w:t>
            </w:r>
            <w:r w:rsidRPr="005052E0">
              <w:rPr>
                <w:rFonts w:asciiTheme="majorHAnsi" w:hAnsiTheme="majorHAnsi"/>
              </w:rPr>
              <w:t xml:space="preserve"> </w:t>
            </w:r>
            <w:r>
              <w:rPr>
                <w:rFonts w:asciiTheme="majorHAnsi" w:hAnsiTheme="majorHAnsi"/>
              </w:rPr>
              <w:t xml:space="preserve"> </w:t>
            </w:r>
            <w:r w:rsidRPr="005052E0">
              <w:rPr>
                <w:rFonts w:asciiTheme="majorHAnsi" w:hAnsiTheme="majorHAnsi"/>
              </w:rPr>
              <w:t xml:space="preserve">DFS to convene group of stakeholders to revise form.  Form should reference it is a medical form and be included in PERK.  Language on form should allow victim to specify if he/she wishes to be contacted by closest rape crisis center.  </w:t>
            </w:r>
          </w:p>
          <w:p w:rsidR="00746134" w:rsidRPr="00640DBA" w:rsidRDefault="00746134" w:rsidP="00D758BB">
            <w:pPr>
              <w:rPr>
                <w:rFonts w:asciiTheme="majorHAnsi" w:hAnsiTheme="majorHAnsi"/>
              </w:rPr>
            </w:pPr>
          </w:p>
        </w:tc>
        <w:tc>
          <w:tcPr>
            <w:tcW w:w="2250" w:type="dxa"/>
          </w:tcPr>
          <w:p w:rsidR="00746134" w:rsidRPr="005052E0" w:rsidRDefault="00746134" w:rsidP="00D758BB">
            <w:pPr>
              <w:rPr>
                <w:rFonts w:asciiTheme="majorHAnsi" w:hAnsiTheme="majorHAnsi"/>
              </w:rPr>
            </w:pPr>
            <w:r w:rsidRPr="005052E0">
              <w:rPr>
                <w:rFonts w:asciiTheme="majorHAnsi" w:hAnsiTheme="majorHAnsi"/>
              </w:rPr>
              <w:t>Victim</w:t>
            </w:r>
          </w:p>
        </w:tc>
      </w:tr>
    </w:tbl>
    <w:p w:rsidR="00640DBA" w:rsidRDefault="00640DBA">
      <w:r>
        <w:br w:type="page"/>
      </w:r>
    </w:p>
    <w:tbl>
      <w:tblPr>
        <w:tblStyle w:val="TableGrid"/>
        <w:tblW w:w="9918" w:type="dxa"/>
        <w:tblLayout w:type="fixed"/>
        <w:tblLook w:val="04A0" w:firstRow="1" w:lastRow="0" w:firstColumn="1" w:lastColumn="0" w:noHBand="0" w:noVBand="1"/>
      </w:tblPr>
      <w:tblGrid>
        <w:gridCol w:w="558"/>
        <w:gridCol w:w="7110"/>
        <w:gridCol w:w="2250"/>
      </w:tblGrid>
      <w:tr w:rsidR="00B65E23" w:rsidRPr="005052E0" w:rsidTr="00D758BB">
        <w:tc>
          <w:tcPr>
            <w:tcW w:w="558" w:type="dxa"/>
          </w:tcPr>
          <w:p w:rsidR="00B65E23" w:rsidRPr="005052E0" w:rsidRDefault="00B65E23" w:rsidP="006F155E">
            <w:pPr>
              <w:rPr>
                <w:rFonts w:asciiTheme="majorHAnsi" w:hAnsiTheme="majorHAnsi"/>
              </w:rPr>
            </w:pPr>
            <w:r w:rsidRPr="005052E0">
              <w:rPr>
                <w:rFonts w:asciiTheme="majorHAnsi" w:hAnsiTheme="majorHAnsi"/>
              </w:rPr>
              <w:lastRenderedPageBreak/>
              <w:t>2</w:t>
            </w:r>
          </w:p>
        </w:tc>
        <w:tc>
          <w:tcPr>
            <w:tcW w:w="7110" w:type="dxa"/>
          </w:tcPr>
          <w:p w:rsidR="00B65E23" w:rsidRPr="005052E0" w:rsidRDefault="00B65E23" w:rsidP="006F155E">
            <w:pPr>
              <w:rPr>
                <w:rFonts w:asciiTheme="majorHAnsi" w:hAnsiTheme="majorHAnsi"/>
              </w:rPr>
            </w:pPr>
            <w:r w:rsidRPr="005052E0">
              <w:rPr>
                <w:rFonts w:asciiTheme="majorHAnsi" w:hAnsiTheme="majorHAnsi"/>
              </w:rPr>
              <w:t>Procedures should be developed to inform law enforcement of the number of anonymous kits collected in their locality so that law enforcement is made aware of all of these incidents occurring in their locality.</w:t>
            </w:r>
          </w:p>
          <w:p w:rsidR="00B65E23" w:rsidRPr="00F43FBB" w:rsidRDefault="00B65E23" w:rsidP="006F155E">
            <w:pPr>
              <w:rPr>
                <w:rFonts w:asciiTheme="majorHAnsi" w:hAnsiTheme="majorHAnsi"/>
                <w:sz w:val="16"/>
                <w:szCs w:val="16"/>
              </w:rPr>
            </w:pPr>
          </w:p>
          <w:p w:rsidR="00633D51" w:rsidRDefault="00633D51" w:rsidP="006F155E">
            <w:pPr>
              <w:rPr>
                <w:rFonts w:asciiTheme="majorHAnsi" w:hAnsiTheme="majorHAnsi"/>
              </w:rPr>
            </w:pPr>
            <w:r w:rsidRPr="005052E0">
              <w:rPr>
                <w:rFonts w:asciiTheme="majorHAnsi" w:hAnsiTheme="majorHAnsi"/>
                <w:u w:val="single"/>
              </w:rPr>
              <w:t>Adopted as follows</w:t>
            </w:r>
            <w:r>
              <w:rPr>
                <w:rFonts w:asciiTheme="majorHAnsi" w:hAnsiTheme="majorHAnsi"/>
                <w:u w:val="single"/>
              </w:rPr>
              <w:t>:</w:t>
            </w:r>
            <w:r w:rsidRPr="005052E0">
              <w:rPr>
                <w:rFonts w:asciiTheme="majorHAnsi" w:hAnsiTheme="majorHAnsi"/>
              </w:rPr>
              <w:t xml:space="preserve">  information should be added to outside of PERK box to capture information on jurisdiction of offense for anonymous PERKs.  Combined with #4.</w:t>
            </w:r>
          </w:p>
          <w:p w:rsidR="00640DBA" w:rsidRPr="005052E0" w:rsidRDefault="00640DBA" w:rsidP="006F155E">
            <w:pPr>
              <w:rPr>
                <w:rFonts w:asciiTheme="majorHAnsi" w:hAnsiTheme="majorHAnsi"/>
              </w:rPr>
            </w:pPr>
          </w:p>
        </w:tc>
        <w:tc>
          <w:tcPr>
            <w:tcW w:w="2250" w:type="dxa"/>
          </w:tcPr>
          <w:p w:rsidR="00B65E23" w:rsidRPr="005052E0" w:rsidRDefault="00B65E23" w:rsidP="006F155E">
            <w:pPr>
              <w:rPr>
                <w:rFonts w:asciiTheme="majorHAnsi" w:hAnsiTheme="majorHAnsi"/>
              </w:rPr>
            </w:pPr>
            <w:r w:rsidRPr="005052E0">
              <w:rPr>
                <w:rFonts w:asciiTheme="majorHAnsi" w:hAnsiTheme="majorHAnsi"/>
              </w:rPr>
              <w:t>Victim</w:t>
            </w:r>
          </w:p>
        </w:tc>
      </w:tr>
      <w:tr w:rsidR="00B65E23" w:rsidRPr="005052E0" w:rsidTr="00D758BB">
        <w:tc>
          <w:tcPr>
            <w:tcW w:w="558" w:type="dxa"/>
          </w:tcPr>
          <w:p w:rsidR="00B65E23" w:rsidRPr="005052E0" w:rsidRDefault="00B65E23" w:rsidP="00D758BB">
            <w:pPr>
              <w:jc w:val="both"/>
              <w:rPr>
                <w:rFonts w:asciiTheme="majorHAnsi" w:hAnsiTheme="majorHAnsi" w:cs="Times New Roman"/>
              </w:rPr>
            </w:pPr>
            <w:r w:rsidRPr="005052E0">
              <w:rPr>
                <w:rFonts w:asciiTheme="majorHAnsi" w:hAnsiTheme="majorHAnsi" w:cs="Times New Roman"/>
              </w:rPr>
              <w:t>3</w:t>
            </w:r>
          </w:p>
        </w:tc>
        <w:tc>
          <w:tcPr>
            <w:tcW w:w="7110" w:type="dxa"/>
          </w:tcPr>
          <w:p w:rsidR="00B65E23" w:rsidRDefault="00B65E23" w:rsidP="00D758BB">
            <w:pPr>
              <w:jc w:val="both"/>
              <w:rPr>
                <w:rFonts w:asciiTheme="majorHAnsi" w:hAnsiTheme="majorHAnsi" w:cs="Times New Roman"/>
              </w:rPr>
            </w:pPr>
            <w:r w:rsidRPr="005052E0">
              <w:rPr>
                <w:rFonts w:asciiTheme="majorHAnsi" w:hAnsiTheme="majorHAnsi" w:cs="Times New Roman"/>
              </w:rPr>
              <w:t>Consideration should be given to expanding the evidence submitted to DCLS for anonymous PERKs, which could include blood/urine samples and clothing.</w:t>
            </w:r>
          </w:p>
          <w:p w:rsidR="00B65E23" w:rsidRDefault="00B65E23" w:rsidP="00D758BB">
            <w:pPr>
              <w:jc w:val="both"/>
              <w:rPr>
                <w:rFonts w:asciiTheme="majorHAnsi" w:hAnsiTheme="majorHAnsi" w:cs="Times New Roman"/>
              </w:rPr>
            </w:pPr>
          </w:p>
          <w:p w:rsidR="00B65E23" w:rsidRPr="005052E0" w:rsidRDefault="00B65E23" w:rsidP="00D758BB">
            <w:pPr>
              <w:rPr>
                <w:rFonts w:asciiTheme="majorHAnsi" w:hAnsiTheme="majorHAnsi"/>
              </w:rPr>
            </w:pPr>
            <w:r>
              <w:rPr>
                <w:rFonts w:asciiTheme="majorHAnsi" w:hAnsiTheme="majorHAnsi"/>
                <w:u w:val="single"/>
              </w:rPr>
              <w:t>Discussed and tabled</w:t>
            </w:r>
            <w:r w:rsidRPr="005052E0">
              <w:rPr>
                <w:rFonts w:asciiTheme="majorHAnsi" w:hAnsiTheme="majorHAnsi"/>
              </w:rPr>
              <w:t xml:space="preserve">.  </w:t>
            </w:r>
            <w:r>
              <w:rPr>
                <w:rFonts w:asciiTheme="majorHAnsi" w:hAnsiTheme="majorHAnsi"/>
              </w:rPr>
              <w:t xml:space="preserve">However, </w:t>
            </w:r>
            <w:r w:rsidRPr="005052E0">
              <w:rPr>
                <w:rFonts w:asciiTheme="majorHAnsi" w:hAnsiTheme="majorHAnsi"/>
              </w:rPr>
              <w:t xml:space="preserve">DFS will look into </w:t>
            </w:r>
            <w:r>
              <w:rPr>
                <w:rFonts w:asciiTheme="majorHAnsi" w:hAnsiTheme="majorHAnsi"/>
              </w:rPr>
              <w:t xml:space="preserve">options for </w:t>
            </w:r>
            <w:r w:rsidRPr="005052E0">
              <w:rPr>
                <w:rFonts w:asciiTheme="majorHAnsi" w:hAnsiTheme="majorHAnsi"/>
              </w:rPr>
              <w:t>Toxicology kit to supplement PERK.</w:t>
            </w:r>
          </w:p>
          <w:p w:rsidR="00B65E23" w:rsidRPr="00633D51" w:rsidRDefault="00B65E23" w:rsidP="00D758BB">
            <w:pPr>
              <w:rPr>
                <w:rFonts w:asciiTheme="majorHAnsi" w:hAnsiTheme="majorHAnsi"/>
                <w:sz w:val="16"/>
                <w:szCs w:val="16"/>
              </w:rPr>
            </w:pPr>
          </w:p>
        </w:tc>
        <w:tc>
          <w:tcPr>
            <w:tcW w:w="2250" w:type="dxa"/>
          </w:tcPr>
          <w:p w:rsidR="00B65E23" w:rsidRPr="005052E0" w:rsidRDefault="00B65E23" w:rsidP="00D758BB">
            <w:pPr>
              <w:rPr>
                <w:rFonts w:asciiTheme="majorHAnsi" w:hAnsiTheme="majorHAnsi"/>
              </w:rPr>
            </w:pPr>
            <w:r w:rsidRPr="005052E0">
              <w:rPr>
                <w:rFonts w:asciiTheme="majorHAnsi" w:hAnsiTheme="majorHAnsi"/>
              </w:rPr>
              <w:t xml:space="preserve">Hospital/Collection </w:t>
            </w:r>
          </w:p>
        </w:tc>
      </w:tr>
      <w:tr w:rsidR="00B65E23" w:rsidRPr="005052E0" w:rsidTr="00D758BB">
        <w:tc>
          <w:tcPr>
            <w:tcW w:w="558" w:type="dxa"/>
          </w:tcPr>
          <w:p w:rsidR="00B65E23" w:rsidRPr="005052E0" w:rsidRDefault="00B65E23" w:rsidP="00D758BB">
            <w:pPr>
              <w:rPr>
                <w:rFonts w:asciiTheme="majorHAnsi" w:hAnsiTheme="majorHAnsi"/>
              </w:rPr>
            </w:pPr>
            <w:r w:rsidRPr="005052E0">
              <w:rPr>
                <w:rFonts w:asciiTheme="majorHAnsi" w:hAnsiTheme="majorHAnsi"/>
              </w:rPr>
              <w:t>4</w:t>
            </w:r>
          </w:p>
        </w:tc>
        <w:tc>
          <w:tcPr>
            <w:tcW w:w="7110" w:type="dxa"/>
          </w:tcPr>
          <w:p w:rsidR="00B65E23" w:rsidRPr="005052E0" w:rsidRDefault="00B65E23" w:rsidP="00D758BB">
            <w:pPr>
              <w:rPr>
                <w:rFonts w:asciiTheme="majorHAnsi" w:hAnsiTheme="majorHAnsi"/>
              </w:rPr>
            </w:pPr>
            <w:r w:rsidRPr="005052E0">
              <w:rPr>
                <w:rFonts w:asciiTheme="majorHAnsi" w:hAnsiTheme="majorHAnsi"/>
              </w:rPr>
              <w:t>All anonymous PERKs should be submitted to DCLS for storage.</w:t>
            </w:r>
          </w:p>
          <w:p w:rsidR="00B65E23" w:rsidRPr="005052E0" w:rsidRDefault="00B65E23" w:rsidP="00D758BB">
            <w:pPr>
              <w:rPr>
                <w:rFonts w:asciiTheme="majorHAnsi" w:hAnsiTheme="majorHAnsi"/>
                <w:u w:val="single"/>
              </w:rPr>
            </w:pPr>
          </w:p>
          <w:p w:rsidR="00B65E23" w:rsidRDefault="00B65E23" w:rsidP="00D758BB">
            <w:pPr>
              <w:rPr>
                <w:rFonts w:asciiTheme="majorHAnsi" w:hAnsiTheme="majorHAnsi"/>
              </w:rPr>
            </w:pPr>
            <w:r w:rsidRPr="005052E0">
              <w:rPr>
                <w:rFonts w:asciiTheme="majorHAnsi" w:hAnsiTheme="majorHAnsi"/>
                <w:u w:val="single"/>
              </w:rPr>
              <w:t>Adopted as recommended</w:t>
            </w:r>
            <w:r w:rsidRPr="005052E0">
              <w:rPr>
                <w:rFonts w:asciiTheme="majorHAnsi" w:hAnsiTheme="majorHAnsi"/>
              </w:rPr>
              <w:t>.  Combined with #2.</w:t>
            </w:r>
          </w:p>
          <w:p w:rsidR="00B65E23" w:rsidRDefault="00B65E23" w:rsidP="00D758BB">
            <w:pPr>
              <w:rPr>
                <w:rFonts w:asciiTheme="majorHAnsi" w:hAnsiTheme="majorHAnsi"/>
              </w:rPr>
            </w:pPr>
          </w:p>
          <w:p w:rsidR="00B65E23" w:rsidRPr="005052E0" w:rsidRDefault="00B65E23" w:rsidP="00D758BB">
            <w:pPr>
              <w:rPr>
                <w:rFonts w:asciiTheme="majorHAnsi" w:hAnsiTheme="majorHAnsi"/>
              </w:rPr>
            </w:pPr>
            <w:r>
              <w:rPr>
                <w:rFonts w:asciiTheme="majorHAnsi" w:hAnsiTheme="majorHAnsi"/>
              </w:rPr>
              <w:t>New statutory language should be part of separate PERK Act.</w:t>
            </w:r>
          </w:p>
          <w:p w:rsidR="00B65E23" w:rsidRPr="00633D51" w:rsidRDefault="00B65E23" w:rsidP="00D758BB">
            <w:pPr>
              <w:rPr>
                <w:rFonts w:asciiTheme="majorHAnsi" w:hAnsiTheme="majorHAnsi"/>
                <w:sz w:val="16"/>
                <w:szCs w:val="16"/>
              </w:rPr>
            </w:pPr>
          </w:p>
        </w:tc>
        <w:tc>
          <w:tcPr>
            <w:tcW w:w="2250" w:type="dxa"/>
          </w:tcPr>
          <w:p w:rsidR="00B65E23" w:rsidRPr="005052E0" w:rsidRDefault="00B65E23" w:rsidP="00D758BB">
            <w:pPr>
              <w:rPr>
                <w:rFonts w:asciiTheme="majorHAnsi" w:hAnsiTheme="majorHAnsi"/>
              </w:rPr>
            </w:pPr>
            <w:r w:rsidRPr="005052E0">
              <w:rPr>
                <w:rFonts w:asciiTheme="majorHAnsi" w:hAnsiTheme="majorHAnsi"/>
              </w:rPr>
              <w:t>Victim</w:t>
            </w:r>
          </w:p>
        </w:tc>
      </w:tr>
      <w:tr w:rsidR="00B65E23" w:rsidRPr="005052E0" w:rsidTr="00D758BB">
        <w:tc>
          <w:tcPr>
            <w:tcW w:w="558" w:type="dxa"/>
          </w:tcPr>
          <w:p w:rsidR="00B65E23" w:rsidRPr="005052E0" w:rsidRDefault="00B65E23" w:rsidP="00D758BB">
            <w:pPr>
              <w:jc w:val="both"/>
              <w:rPr>
                <w:rFonts w:asciiTheme="majorHAnsi" w:hAnsiTheme="majorHAnsi" w:cs="Times New Roman"/>
              </w:rPr>
            </w:pPr>
            <w:r w:rsidRPr="005052E0">
              <w:rPr>
                <w:rFonts w:asciiTheme="majorHAnsi" w:hAnsiTheme="majorHAnsi" w:cs="Times New Roman"/>
              </w:rPr>
              <w:t>5</w:t>
            </w:r>
          </w:p>
        </w:tc>
        <w:tc>
          <w:tcPr>
            <w:tcW w:w="7110" w:type="dxa"/>
          </w:tcPr>
          <w:p w:rsidR="00B65E23" w:rsidRPr="005052E0" w:rsidRDefault="00B65E23" w:rsidP="00D758BB">
            <w:pPr>
              <w:jc w:val="both"/>
              <w:rPr>
                <w:rFonts w:asciiTheme="majorHAnsi" w:hAnsiTheme="majorHAnsi" w:cs="Times New Roman"/>
              </w:rPr>
            </w:pPr>
            <w:r w:rsidRPr="005052E0">
              <w:rPr>
                <w:rFonts w:asciiTheme="majorHAnsi" w:hAnsiTheme="majorHAnsi" w:cs="Times New Roman"/>
              </w:rPr>
              <w:t>Anonymous PERKs submitted to DCLS should be retained for a minimum of two years with no restriction on DCLS maintaining the PERKs for longer, if requested.</w:t>
            </w:r>
          </w:p>
          <w:p w:rsidR="00B65E23" w:rsidRPr="005052E0" w:rsidRDefault="00B65E23" w:rsidP="00D758BB">
            <w:pPr>
              <w:rPr>
                <w:rFonts w:asciiTheme="majorHAnsi" w:hAnsiTheme="majorHAnsi"/>
              </w:rPr>
            </w:pPr>
          </w:p>
          <w:p w:rsidR="00B65E23" w:rsidRPr="005052E0" w:rsidRDefault="00B65E23" w:rsidP="00D758BB">
            <w:pPr>
              <w:rPr>
                <w:rFonts w:asciiTheme="majorHAnsi" w:hAnsiTheme="majorHAnsi"/>
              </w:rPr>
            </w:pPr>
            <w:r w:rsidRPr="005052E0">
              <w:rPr>
                <w:rFonts w:asciiTheme="majorHAnsi" w:hAnsiTheme="majorHAnsi"/>
              </w:rPr>
              <w:t>Increase the time frame for anonymous PERKs to be held from 120 days to two years.  Ensure this includes two years post age of majority for persons who were minors at the time the PERK was collected.</w:t>
            </w:r>
          </w:p>
          <w:p w:rsidR="00B65E23" w:rsidRPr="005052E0" w:rsidRDefault="00B65E23" w:rsidP="00D758BB">
            <w:pPr>
              <w:rPr>
                <w:rFonts w:asciiTheme="majorHAnsi" w:hAnsiTheme="majorHAnsi"/>
              </w:rPr>
            </w:pPr>
          </w:p>
          <w:p w:rsidR="00B65E23" w:rsidRDefault="00B65E23" w:rsidP="00D758BB">
            <w:pPr>
              <w:rPr>
                <w:rFonts w:asciiTheme="majorHAnsi" w:hAnsiTheme="majorHAnsi"/>
              </w:rPr>
            </w:pPr>
            <w:r w:rsidRPr="005052E0">
              <w:rPr>
                <w:rFonts w:asciiTheme="majorHAnsi" w:hAnsiTheme="majorHAnsi"/>
              </w:rPr>
              <w:t xml:space="preserve">Retention of anonymous PERKs should be extended from 120 days to a minimum of two years.  After two years, retention </w:t>
            </w:r>
            <w:r w:rsidR="00421D4E">
              <w:rPr>
                <w:rFonts w:asciiTheme="majorHAnsi" w:hAnsiTheme="majorHAnsi"/>
              </w:rPr>
              <w:t>should</w:t>
            </w:r>
            <w:r w:rsidRPr="005052E0">
              <w:rPr>
                <w:rFonts w:asciiTheme="majorHAnsi" w:hAnsiTheme="majorHAnsi"/>
              </w:rPr>
              <w:t xml:space="preserve"> be at the discretion of the agency. </w:t>
            </w:r>
          </w:p>
          <w:p w:rsidR="00B65E23" w:rsidRPr="00633D51" w:rsidRDefault="00B65E23" w:rsidP="00D758BB">
            <w:pPr>
              <w:rPr>
                <w:rFonts w:asciiTheme="majorHAnsi" w:hAnsiTheme="majorHAnsi"/>
                <w:sz w:val="16"/>
                <w:szCs w:val="16"/>
              </w:rPr>
            </w:pPr>
          </w:p>
          <w:p w:rsidR="00B65E23" w:rsidRPr="005052E0" w:rsidRDefault="00B65E23" w:rsidP="00D758BB">
            <w:pPr>
              <w:rPr>
                <w:rFonts w:asciiTheme="majorHAnsi" w:hAnsiTheme="majorHAnsi"/>
              </w:rPr>
            </w:pPr>
            <w:r w:rsidRPr="005052E0">
              <w:rPr>
                <w:rFonts w:asciiTheme="majorHAnsi" w:hAnsiTheme="majorHAnsi"/>
                <w:u w:val="single"/>
              </w:rPr>
              <w:t>Adopted as follows</w:t>
            </w:r>
            <w:r>
              <w:rPr>
                <w:rFonts w:asciiTheme="majorHAnsi" w:hAnsiTheme="majorHAnsi"/>
                <w:u w:val="single"/>
              </w:rPr>
              <w:t>:</w:t>
            </w:r>
            <w:r w:rsidRPr="005052E0">
              <w:rPr>
                <w:rFonts w:asciiTheme="majorHAnsi" w:hAnsiTheme="majorHAnsi"/>
              </w:rPr>
              <w:t xml:space="preserve">  anonymous PERKs should be retained for a minimum of two years.  PERKs may be retained for longer, if requested.</w:t>
            </w:r>
          </w:p>
          <w:p w:rsidR="00B65E23" w:rsidRPr="00633D51" w:rsidRDefault="00B65E23" w:rsidP="00D758BB">
            <w:pPr>
              <w:ind w:right="-1260"/>
              <w:rPr>
                <w:rFonts w:asciiTheme="majorHAnsi" w:hAnsiTheme="majorHAnsi"/>
                <w:sz w:val="16"/>
                <w:szCs w:val="16"/>
              </w:rPr>
            </w:pPr>
          </w:p>
          <w:p w:rsidR="00B65E23" w:rsidRPr="005052E0" w:rsidRDefault="00B65E23" w:rsidP="00D758BB">
            <w:pPr>
              <w:rPr>
                <w:rFonts w:asciiTheme="majorHAnsi" w:hAnsiTheme="majorHAnsi"/>
              </w:rPr>
            </w:pPr>
            <w:r>
              <w:rPr>
                <w:rFonts w:asciiTheme="majorHAnsi" w:hAnsiTheme="majorHAnsi"/>
              </w:rPr>
              <w:t>New statutory language should be part of separate PERK Act.</w:t>
            </w:r>
          </w:p>
          <w:p w:rsidR="00B65E23" w:rsidRPr="00633D51" w:rsidRDefault="00B65E23" w:rsidP="00D758BB">
            <w:pPr>
              <w:rPr>
                <w:rFonts w:asciiTheme="majorHAnsi" w:hAnsiTheme="majorHAnsi"/>
                <w:sz w:val="16"/>
                <w:szCs w:val="16"/>
              </w:rPr>
            </w:pPr>
          </w:p>
        </w:tc>
        <w:tc>
          <w:tcPr>
            <w:tcW w:w="2250" w:type="dxa"/>
          </w:tcPr>
          <w:p w:rsidR="00B65E23" w:rsidRPr="005052E0" w:rsidRDefault="00B65E23" w:rsidP="00D758BB">
            <w:pPr>
              <w:ind w:right="-1260"/>
              <w:rPr>
                <w:rFonts w:asciiTheme="majorHAnsi" w:hAnsiTheme="majorHAnsi"/>
              </w:rPr>
            </w:pPr>
            <w:r w:rsidRPr="005052E0">
              <w:rPr>
                <w:rFonts w:asciiTheme="majorHAnsi" w:hAnsiTheme="majorHAnsi"/>
              </w:rPr>
              <w:t xml:space="preserve">Hospital/Collection </w:t>
            </w:r>
          </w:p>
          <w:p w:rsidR="00B65E23" w:rsidRPr="005052E0" w:rsidRDefault="00B65E23" w:rsidP="00D758BB">
            <w:pPr>
              <w:ind w:right="-1260"/>
              <w:rPr>
                <w:rFonts w:asciiTheme="majorHAnsi" w:hAnsiTheme="majorHAnsi"/>
              </w:rPr>
            </w:pPr>
          </w:p>
          <w:p w:rsidR="00B65E23" w:rsidRPr="005052E0" w:rsidRDefault="00B65E23" w:rsidP="00D758BB">
            <w:pPr>
              <w:ind w:right="-1260"/>
              <w:rPr>
                <w:rFonts w:asciiTheme="majorHAnsi" w:hAnsiTheme="majorHAnsi"/>
              </w:rPr>
            </w:pPr>
          </w:p>
          <w:p w:rsidR="00B65E23" w:rsidRPr="005052E0" w:rsidRDefault="00B65E23" w:rsidP="00D758BB">
            <w:pPr>
              <w:ind w:right="-1260"/>
              <w:rPr>
                <w:rFonts w:asciiTheme="majorHAnsi" w:hAnsiTheme="majorHAnsi"/>
              </w:rPr>
            </w:pPr>
          </w:p>
          <w:p w:rsidR="00B65E23" w:rsidRPr="005052E0" w:rsidRDefault="00B65E23" w:rsidP="00D758BB">
            <w:pPr>
              <w:ind w:right="-1260"/>
              <w:rPr>
                <w:rFonts w:asciiTheme="majorHAnsi" w:hAnsiTheme="majorHAnsi"/>
              </w:rPr>
            </w:pPr>
            <w:r w:rsidRPr="005052E0">
              <w:rPr>
                <w:rFonts w:asciiTheme="majorHAnsi" w:hAnsiTheme="majorHAnsi"/>
              </w:rPr>
              <w:t>Victim</w:t>
            </w:r>
          </w:p>
          <w:p w:rsidR="00B65E23" w:rsidRPr="005052E0" w:rsidRDefault="00B65E23" w:rsidP="00D758BB">
            <w:pPr>
              <w:ind w:right="-1260"/>
              <w:rPr>
                <w:rFonts w:asciiTheme="majorHAnsi" w:hAnsiTheme="majorHAnsi"/>
              </w:rPr>
            </w:pPr>
          </w:p>
          <w:p w:rsidR="00B65E23" w:rsidRPr="005052E0" w:rsidRDefault="00B65E23" w:rsidP="00D758BB">
            <w:pPr>
              <w:ind w:right="-1260"/>
              <w:rPr>
                <w:rFonts w:asciiTheme="majorHAnsi" w:hAnsiTheme="majorHAnsi"/>
              </w:rPr>
            </w:pPr>
          </w:p>
          <w:p w:rsidR="00B65E23" w:rsidRPr="005052E0" w:rsidRDefault="00B65E23" w:rsidP="00D758BB">
            <w:pPr>
              <w:ind w:right="-1260"/>
              <w:rPr>
                <w:rFonts w:asciiTheme="majorHAnsi" w:hAnsiTheme="majorHAnsi"/>
              </w:rPr>
            </w:pPr>
          </w:p>
          <w:p w:rsidR="00B65E23" w:rsidRPr="005052E0" w:rsidRDefault="00B65E23" w:rsidP="00D758BB">
            <w:pPr>
              <w:ind w:right="-1260"/>
              <w:rPr>
                <w:rFonts w:asciiTheme="majorHAnsi" w:hAnsiTheme="majorHAnsi"/>
              </w:rPr>
            </w:pPr>
          </w:p>
          <w:p w:rsidR="00B65E23" w:rsidRPr="005052E0" w:rsidRDefault="00B65E23" w:rsidP="00D758BB">
            <w:pPr>
              <w:ind w:right="-1260"/>
              <w:rPr>
                <w:rFonts w:asciiTheme="majorHAnsi" w:hAnsiTheme="majorHAnsi"/>
              </w:rPr>
            </w:pPr>
            <w:r w:rsidRPr="005052E0">
              <w:rPr>
                <w:rFonts w:asciiTheme="majorHAnsi" w:hAnsiTheme="majorHAnsi"/>
              </w:rPr>
              <w:t>Law Enforcement</w:t>
            </w:r>
          </w:p>
          <w:p w:rsidR="00B65E23" w:rsidRPr="005052E0" w:rsidRDefault="00B65E23" w:rsidP="00D758BB">
            <w:pPr>
              <w:ind w:right="-1260"/>
              <w:rPr>
                <w:rFonts w:asciiTheme="majorHAnsi" w:hAnsiTheme="majorHAnsi"/>
              </w:rPr>
            </w:pPr>
          </w:p>
          <w:p w:rsidR="00B65E23" w:rsidRPr="005052E0" w:rsidRDefault="00B65E23" w:rsidP="00D758BB">
            <w:pPr>
              <w:ind w:right="-1260"/>
              <w:rPr>
                <w:rFonts w:asciiTheme="majorHAnsi" w:hAnsiTheme="majorHAnsi"/>
              </w:rPr>
            </w:pPr>
            <w:r w:rsidRPr="005052E0">
              <w:rPr>
                <w:rFonts w:asciiTheme="majorHAnsi" w:hAnsiTheme="majorHAnsi"/>
              </w:rPr>
              <w:t xml:space="preserve"> </w:t>
            </w:r>
          </w:p>
        </w:tc>
      </w:tr>
      <w:tr w:rsidR="00B65E23" w:rsidRPr="005052E0" w:rsidTr="00D758BB">
        <w:tc>
          <w:tcPr>
            <w:tcW w:w="558" w:type="dxa"/>
          </w:tcPr>
          <w:p w:rsidR="00B65E23" w:rsidRPr="005052E0" w:rsidRDefault="00B65E23" w:rsidP="00D758BB">
            <w:pPr>
              <w:rPr>
                <w:rFonts w:asciiTheme="majorHAnsi" w:hAnsiTheme="majorHAnsi"/>
              </w:rPr>
            </w:pPr>
            <w:r w:rsidRPr="005052E0">
              <w:rPr>
                <w:rFonts w:asciiTheme="majorHAnsi" w:hAnsiTheme="majorHAnsi"/>
              </w:rPr>
              <w:t>7</w:t>
            </w:r>
          </w:p>
        </w:tc>
        <w:tc>
          <w:tcPr>
            <w:tcW w:w="7110" w:type="dxa"/>
          </w:tcPr>
          <w:p w:rsidR="00B65E23" w:rsidRPr="005052E0" w:rsidRDefault="00B65E23" w:rsidP="00D758BB">
            <w:pPr>
              <w:rPr>
                <w:rFonts w:asciiTheme="majorHAnsi" w:hAnsiTheme="majorHAnsi"/>
              </w:rPr>
            </w:pPr>
            <w:r w:rsidRPr="005052E0">
              <w:rPr>
                <w:rFonts w:asciiTheme="majorHAnsi" w:hAnsiTheme="majorHAnsi"/>
              </w:rPr>
              <w:t>Law Enforcement to pick up PERKs as soon as practicable or within 10 business days upon notification from a hospital.  A good faith provision should be included.</w:t>
            </w:r>
          </w:p>
          <w:p w:rsidR="00B65E23" w:rsidRPr="00633D51" w:rsidRDefault="00B65E23" w:rsidP="00D758BB">
            <w:pPr>
              <w:rPr>
                <w:rFonts w:asciiTheme="majorHAnsi" w:hAnsiTheme="majorHAnsi"/>
                <w:sz w:val="16"/>
                <w:szCs w:val="16"/>
              </w:rPr>
            </w:pPr>
          </w:p>
          <w:p w:rsidR="00B65E23" w:rsidRDefault="00B65E23" w:rsidP="00D758BB">
            <w:pPr>
              <w:jc w:val="both"/>
              <w:rPr>
                <w:rFonts w:asciiTheme="majorHAnsi" w:hAnsiTheme="majorHAnsi" w:cs="Times New Roman"/>
              </w:rPr>
            </w:pPr>
            <w:r w:rsidRPr="005052E0">
              <w:rPr>
                <w:rFonts w:asciiTheme="majorHAnsi" w:hAnsiTheme="majorHAnsi" w:cs="Times New Roman"/>
              </w:rPr>
              <w:t xml:space="preserve">Permitting law enforcement officers up to 10 days to pick up sexual assault evidence from the hospital is of concern as hospitals are not equipped for the secure storage of evidence.  Hospitals should have alternate options if law enforcement is not able to respond </w:t>
            </w:r>
            <w:r w:rsidRPr="005052E0">
              <w:rPr>
                <w:rFonts w:asciiTheme="majorHAnsi" w:hAnsiTheme="majorHAnsi" w:cs="Times New Roman"/>
              </w:rPr>
              <w:lastRenderedPageBreak/>
              <w:t>immediately, including but not limited to mailing the evidence to the law enforcement agency.</w:t>
            </w:r>
          </w:p>
          <w:p w:rsidR="00B65E23" w:rsidRPr="00633D51" w:rsidRDefault="00B65E23" w:rsidP="00D758BB">
            <w:pPr>
              <w:jc w:val="both"/>
              <w:rPr>
                <w:rFonts w:asciiTheme="majorHAnsi" w:hAnsiTheme="majorHAnsi" w:cs="Times New Roman"/>
                <w:sz w:val="16"/>
                <w:szCs w:val="16"/>
              </w:rPr>
            </w:pPr>
          </w:p>
          <w:p w:rsidR="00B65E23" w:rsidRDefault="00B65E23" w:rsidP="00D758BB">
            <w:pPr>
              <w:jc w:val="both"/>
              <w:rPr>
                <w:rFonts w:asciiTheme="majorHAnsi" w:hAnsiTheme="majorHAnsi"/>
              </w:rPr>
            </w:pPr>
            <w:r w:rsidRPr="001C4B7D">
              <w:rPr>
                <w:rFonts w:asciiTheme="majorHAnsi" w:hAnsiTheme="majorHAnsi"/>
                <w:u w:val="single"/>
              </w:rPr>
              <w:t>Adopted as follows:</w:t>
            </w:r>
            <w:r>
              <w:rPr>
                <w:rFonts w:asciiTheme="majorHAnsi" w:hAnsiTheme="majorHAnsi"/>
              </w:rPr>
              <w:t xml:space="preserve">  </w:t>
            </w:r>
            <w:r w:rsidR="00670EB6">
              <w:rPr>
                <w:rFonts w:asciiTheme="majorHAnsi" w:hAnsiTheme="majorHAnsi"/>
              </w:rPr>
              <w:t>l</w:t>
            </w:r>
            <w:r>
              <w:rPr>
                <w:rFonts w:asciiTheme="majorHAnsi" w:hAnsiTheme="majorHAnsi"/>
              </w:rPr>
              <w:t>aw enforcement to pick up PERKs “forthwith” upon notification from hospital that PERK has been collected.  Good faith exception to be included in statutory language.</w:t>
            </w:r>
          </w:p>
          <w:p w:rsidR="00B65E23" w:rsidRPr="00633D51" w:rsidRDefault="00B65E23" w:rsidP="00D758BB">
            <w:pPr>
              <w:jc w:val="both"/>
              <w:rPr>
                <w:rFonts w:asciiTheme="majorHAnsi" w:hAnsiTheme="majorHAnsi"/>
                <w:sz w:val="16"/>
                <w:szCs w:val="16"/>
              </w:rPr>
            </w:pPr>
          </w:p>
          <w:p w:rsidR="00B65E23" w:rsidRDefault="00B65E23" w:rsidP="00633D51">
            <w:pPr>
              <w:rPr>
                <w:rFonts w:asciiTheme="majorHAnsi" w:hAnsiTheme="majorHAnsi"/>
              </w:rPr>
            </w:pPr>
            <w:r>
              <w:rPr>
                <w:rFonts w:asciiTheme="majorHAnsi" w:hAnsiTheme="majorHAnsi"/>
              </w:rPr>
              <w:t>New statutory language should be part of separate PERK Act.</w:t>
            </w:r>
          </w:p>
          <w:p w:rsidR="00633D51" w:rsidRDefault="00633D51" w:rsidP="00633D51">
            <w:pPr>
              <w:rPr>
                <w:rFonts w:asciiTheme="majorHAnsi" w:hAnsiTheme="majorHAnsi"/>
              </w:rPr>
            </w:pPr>
          </w:p>
          <w:p w:rsidR="00670EB6" w:rsidRPr="00633D51" w:rsidRDefault="00670EB6" w:rsidP="00633D51">
            <w:pPr>
              <w:rPr>
                <w:rFonts w:asciiTheme="majorHAnsi" w:hAnsiTheme="majorHAnsi"/>
              </w:rPr>
            </w:pPr>
          </w:p>
        </w:tc>
        <w:tc>
          <w:tcPr>
            <w:tcW w:w="2250" w:type="dxa"/>
          </w:tcPr>
          <w:p w:rsidR="00B65E23" w:rsidRPr="005052E0" w:rsidRDefault="00B65E23" w:rsidP="00D758BB">
            <w:pPr>
              <w:rPr>
                <w:rFonts w:asciiTheme="majorHAnsi" w:hAnsiTheme="majorHAnsi"/>
              </w:rPr>
            </w:pPr>
            <w:r w:rsidRPr="005052E0">
              <w:rPr>
                <w:rFonts w:asciiTheme="majorHAnsi" w:hAnsiTheme="majorHAnsi"/>
              </w:rPr>
              <w:lastRenderedPageBreak/>
              <w:t xml:space="preserve">Law Enforcement </w:t>
            </w:r>
          </w:p>
          <w:p w:rsidR="00B65E23" w:rsidRPr="005052E0" w:rsidRDefault="00B65E23" w:rsidP="00D758BB">
            <w:pPr>
              <w:rPr>
                <w:rFonts w:asciiTheme="majorHAnsi" w:hAnsiTheme="majorHAnsi"/>
              </w:rPr>
            </w:pPr>
          </w:p>
          <w:p w:rsidR="00B65E23" w:rsidRPr="005052E0" w:rsidRDefault="00B65E23" w:rsidP="00D758BB">
            <w:pPr>
              <w:rPr>
                <w:rFonts w:asciiTheme="majorHAnsi" w:hAnsiTheme="majorHAnsi"/>
              </w:rPr>
            </w:pPr>
          </w:p>
          <w:p w:rsidR="00B65E23" w:rsidRPr="00633D51" w:rsidRDefault="00B65E23" w:rsidP="00D758BB">
            <w:pPr>
              <w:rPr>
                <w:rFonts w:asciiTheme="majorHAnsi" w:hAnsiTheme="majorHAnsi"/>
                <w:sz w:val="16"/>
                <w:szCs w:val="16"/>
              </w:rPr>
            </w:pPr>
          </w:p>
          <w:p w:rsidR="00B65E23" w:rsidRPr="005052E0" w:rsidRDefault="00B65E23" w:rsidP="00D758BB">
            <w:pPr>
              <w:rPr>
                <w:rFonts w:asciiTheme="majorHAnsi" w:hAnsiTheme="majorHAnsi"/>
              </w:rPr>
            </w:pPr>
            <w:r w:rsidRPr="005052E0">
              <w:rPr>
                <w:rFonts w:asciiTheme="majorHAnsi" w:hAnsiTheme="majorHAnsi"/>
              </w:rPr>
              <w:t xml:space="preserve">Hospital/Collection </w:t>
            </w:r>
          </w:p>
          <w:p w:rsidR="00B65E23" w:rsidRPr="005052E0" w:rsidRDefault="00B65E23" w:rsidP="00D758BB">
            <w:pPr>
              <w:rPr>
                <w:rFonts w:asciiTheme="majorHAnsi" w:hAnsiTheme="majorHAnsi"/>
              </w:rPr>
            </w:pPr>
          </w:p>
          <w:p w:rsidR="00B65E23" w:rsidRPr="005052E0" w:rsidRDefault="00B65E23" w:rsidP="00D758BB">
            <w:pPr>
              <w:rPr>
                <w:rFonts w:asciiTheme="majorHAnsi" w:hAnsiTheme="majorHAnsi"/>
              </w:rPr>
            </w:pPr>
          </w:p>
          <w:p w:rsidR="00B65E23" w:rsidRPr="005052E0" w:rsidRDefault="00B65E23" w:rsidP="00D758BB">
            <w:pPr>
              <w:rPr>
                <w:rFonts w:asciiTheme="majorHAnsi" w:hAnsiTheme="majorHAnsi"/>
              </w:rPr>
            </w:pPr>
          </w:p>
        </w:tc>
      </w:tr>
      <w:tr w:rsidR="00B65E23" w:rsidRPr="005052E0" w:rsidTr="00D758BB">
        <w:tc>
          <w:tcPr>
            <w:tcW w:w="558" w:type="dxa"/>
          </w:tcPr>
          <w:p w:rsidR="00B65E23" w:rsidRPr="005052E0" w:rsidRDefault="00B65E23" w:rsidP="00D758BB">
            <w:pPr>
              <w:rPr>
                <w:rFonts w:asciiTheme="majorHAnsi" w:hAnsiTheme="majorHAnsi"/>
              </w:rPr>
            </w:pPr>
            <w:r w:rsidRPr="005052E0">
              <w:rPr>
                <w:rFonts w:asciiTheme="majorHAnsi" w:hAnsiTheme="majorHAnsi"/>
              </w:rPr>
              <w:lastRenderedPageBreak/>
              <w:t>8</w:t>
            </w:r>
          </w:p>
        </w:tc>
        <w:tc>
          <w:tcPr>
            <w:tcW w:w="7110" w:type="dxa"/>
          </w:tcPr>
          <w:p w:rsidR="00B65E23" w:rsidRPr="005052E0" w:rsidRDefault="00B65E23" w:rsidP="00D758BB">
            <w:pPr>
              <w:rPr>
                <w:rFonts w:asciiTheme="majorHAnsi" w:hAnsiTheme="majorHAnsi"/>
              </w:rPr>
            </w:pPr>
            <w:r w:rsidRPr="005052E0">
              <w:rPr>
                <w:rFonts w:asciiTheme="majorHAnsi" w:hAnsiTheme="majorHAnsi"/>
              </w:rPr>
              <w:t xml:space="preserve">Law Enforcement should have 60 days from receipt of the PERK to submit it to DFS for analysis.   A good faith provision should be included. </w:t>
            </w:r>
          </w:p>
          <w:p w:rsidR="00B65E23" w:rsidRPr="00633D51" w:rsidRDefault="00B65E23" w:rsidP="00D758BB">
            <w:pPr>
              <w:rPr>
                <w:rFonts w:asciiTheme="majorHAnsi" w:hAnsiTheme="majorHAnsi"/>
                <w:sz w:val="16"/>
                <w:szCs w:val="16"/>
              </w:rPr>
            </w:pPr>
          </w:p>
          <w:p w:rsidR="00B65E23" w:rsidRDefault="00B65E23" w:rsidP="00D758BB">
            <w:pPr>
              <w:rPr>
                <w:rFonts w:asciiTheme="majorHAnsi" w:hAnsiTheme="majorHAnsi"/>
                <w:u w:val="single"/>
              </w:rPr>
            </w:pPr>
            <w:r w:rsidRPr="005052E0">
              <w:rPr>
                <w:rFonts w:asciiTheme="majorHAnsi" w:hAnsiTheme="majorHAnsi"/>
              </w:rPr>
              <w:t>All kits should be submitted to DFS for testing within a “reasonable” timeframe (suggested 45 days).</w:t>
            </w:r>
            <w:r w:rsidRPr="005052E0">
              <w:rPr>
                <w:rFonts w:asciiTheme="majorHAnsi" w:hAnsiTheme="majorHAnsi"/>
                <w:u w:val="single"/>
              </w:rPr>
              <w:t xml:space="preserve"> </w:t>
            </w:r>
          </w:p>
          <w:p w:rsidR="00B65E23" w:rsidRPr="00633D51" w:rsidRDefault="00B65E23" w:rsidP="00D758BB">
            <w:pPr>
              <w:rPr>
                <w:rFonts w:asciiTheme="majorHAnsi" w:hAnsiTheme="majorHAnsi"/>
                <w:sz w:val="16"/>
                <w:szCs w:val="16"/>
                <w:u w:val="single"/>
              </w:rPr>
            </w:pPr>
          </w:p>
          <w:p w:rsidR="00B65E23" w:rsidRPr="005052E0" w:rsidRDefault="00B65E23" w:rsidP="00D758BB">
            <w:pPr>
              <w:rPr>
                <w:rFonts w:asciiTheme="majorHAnsi" w:hAnsiTheme="majorHAnsi"/>
              </w:rPr>
            </w:pPr>
            <w:r w:rsidRPr="005052E0">
              <w:rPr>
                <w:rFonts w:asciiTheme="majorHAnsi" w:hAnsiTheme="majorHAnsi"/>
                <w:u w:val="single"/>
              </w:rPr>
              <w:t>Adopted as follow</w:t>
            </w:r>
            <w:r>
              <w:rPr>
                <w:rFonts w:asciiTheme="majorHAnsi" w:hAnsiTheme="majorHAnsi"/>
                <w:u w:val="single"/>
              </w:rPr>
              <w:t>s:</w:t>
            </w:r>
            <w:r w:rsidRPr="005052E0">
              <w:rPr>
                <w:rFonts w:asciiTheme="majorHAnsi" w:hAnsiTheme="majorHAnsi"/>
              </w:rPr>
              <w:t xml:space="preserve">  law enforcement should submit </w:t>
            </w:r>
            <w:r>
              <w:rPr>
                <w:rFonts w:asciiTheme="majorHAnsi" w:hAnsiTheme="majorHAnsi"/>
              </w:rPr>
              <w:t xml:space="preserve">each </w:t>
            </w:r>
            <w:r w:rsidRPr="005052E0">
              <w:rPr>
                <w:rFonts w:asciiTheme="majorHAnsi" w:hAnsiTheme="majorHAnsi"/>
              </w:rPr>
              <w:t xml:space="preserve">PERK to DFS </w:t>
            </w:r>
            <w:r>
              <w:rPr>
                <w:rFonts w:asciiTheme="majorHAnsi" w:hAnsiTheme="majorHAnsi"/>
              </w:rPr>
              <w:t xml:space="preserve">for analysis </w:t>
            </w:r>
            <w:r w:rsidRPr="005052E0">
              <w:rPr>
                <w:rFonts w:asciiTheme="majorHAnsi" w:hAnsiTheme="majorHAnsi"/>
              </w:rPr>
              <w:t>within 60 days of receiving it.</w:t>
            </w:r>
          </w:p>
          <w:p w:rsidR="00B65E23" w:rsidRPr="00633D51" w:rsidRDefault="00B65E23" w:rsidP="00D758BB">
            <w:pPr>
              <w:rPr>
                <w:rFonts w:asciiTheme="majorHAnsi" w:hAnsiTheme="majorHAnsi"/>
                <w:sz w:val="16"/>
                <w:szCs w:val="16"/>
              </w:rPr>
            </w:pPr>
          </w:p>
          <w:p w:rsidR="00B65E23" w:rsidRDefault="00B65E23" w:rsidP="00746134">
            <w:pPr>
              <w:rPr>
                <w:rFonts w:asciiTheme="majorHAnsi" w:hAnsiTheme="majorHAnsi"/>
              </w:rPr>
            </w:pPr>
            <w:r>
              <w:rPr>
                <w:rFonts w:asciiTheme="majorHAnsi" w:hAnsiTheme="majorHAnsi"/>
              </w:rPr>
              <w:t>New statutory language should be part of separate PERK Act.</w:t>
            </w:r>
          </w:p>
          <w:p w:rsidR="00B65E23" w:rsidRPr="000F7A91" w:rsidRDefault="00B65E23" w:rsidP="00746134">
            <w:pPr>
              <w:rPr>
                <w:rFonts w:asciiTheme="majorHAnsi" w:hAnsiTheme="majorHAnsi"/>
              </w:rPr>
            </w:pPr>
          </w:p>
        </w:tc>
        <w:tc>
          <w:tcPr>
            <w:tcW w:w="2250" w:type="dxa"/>
          </w:tcPr>
          <w:p w:rsidR="00B65E23" w:rsidRPr="005052E0" w:rsidRDefault="00B65E23" w:rsidP="00D758BB">
            <w:pPr>
              <w:rPr>
                <w:rFonts w:asciiTheme="majorHAnsi" w:hAnsiTheme="majorHAnsi"/>
              </w:rPr>
            </w:pPr>
            <w:r w:rsidRPr="005052E0">
              <w:rPr>
                <w:rFonts w:asciiTheme="majorHAnsi" w:hAnsiTheme="majorHAnsi"/>
              </w:rPr>
              <w:t>Law Enforcement</w:t>
            </w:r>
          </w:p>
          <w:p w:rsidR="00B65E23" w:rsidRPr="005052E0" w:rsidRDefault="00B65E23" w:rsidP="00D758BB">
            <w:pPr>
              <w:rPr>
                <w:rFonts w:asciiTheme="majorHAnsi" w:hAnsiTheme="majorHAnsi"/>
              </w:rPr>
            </w:pPr>
          </w:p>
          <w:p w:rsidR="00B65E23" w:rsidRPr="005052E0" w:rsidRDefault="00B65E23" w:rsidP="00D758BB">
            <w:pPr>
              <w:rPr>
                <w:rFonts w:asciiTheme="majorHAnsi" w:hAnsiTheme="majorHAnsi"/>
              </w:rPr>
            </w:pPr>
          </w:p>
          <w:p w:rsidR="00B65E23" w:rsidRPr="00633D51" w:rsidRDefault="00B65E23" w:rsidP="00D758BB">
            <w:pPr>
              <w:rPr>
                <w:rFonts w:asciiTheme="majorHAnsi" w:hAnsiTheme="majorHAnsi"/>
                <w:sz w:val="16"/>
                <w:szCs w:val="16"/>
              </w:rPr>
            </w:pPr>
          </w:p>
          <w:p w:rsidR="00B65E23" w:rsidRPr="005052E0" w:rsidRDefault="00B65E23" w:rsidP="00D758BB">
            <w:pPr>
              <w:rPr>
                <w:rFonts w:asciiTheme="majorHAnsi" w:hAnsiTheme="majorHAnsi"/>
              </w:rPr>
            </w:pPr>
            <w:r w:rsidRPr="005052E0">
              <w:rPr>
                <w:rFonts w:asciiTheme="majorHAnsi" w:hAnsiTheme="majorHAnsi"/>
              </w:rPr>
              <w:t>Victim</w:t>
            </w:r>
          </w:p>
        </w:tc>
      </w:tr>
      <w:tr w:rsidR="00B65E23" w:rsidRPr="005052E0" w:rsidTr="00D758BB">
        <w:tc>
          <w:tcPr>
            <w:tcW w:w="558" w:type="dxa"/>
          </w:tcPr>
          <w:p w:rsidR="00B65E23" w:rsidRPr="005052E0" w:rsidRDefault="00B65E23" w:rsidP="00D758BB">
            <w:pPr>
              <w:rPr>
                <w:rFonts w:asciiTheme="majorHAnsi" w:hAnsiTheme="majorHAnsi"/>
              </w:rPr>
            </w:pPr>
            <w:r w:rsidRPr="005052E0">
              <w:rPr>
                <w:rFonts w:asciiTheme="majorHAnsi" w:hAnsiTheme="majorHAnsi"/>
              </w:rPr>
              <w:t>9</w:t>
            </w:r>
          </w:p>
        </w:tc>
        <w:tc>
          <w:tcPr>
            <w:tcW w:w="7110" w:type="dxa"/>
          </w:tcPr>
          <w:p w:rsidR="00B65E23" w:rsidRPr="005052E0" w:rsidRDefault="00B65E23" w:rsidP="00D758BB">
            <w:pPr>
              <w:rPr>
                <w:rFonts w:asciiTheme="majorHAnsi" w:hAnsiTheme="majorHAnsi"/>
              </w:rPr>
            </w:pPr>
            <w:r w:rsidRPr="005052E0">
              <w:rPr>
                <w:rFonts w:asciiTheme="majorHAnsi" w:hAnsiTheme="majorHAnsi"/>
              </w:rPr>
              <w:t>Every PERK related to a criminal investigation should be submitted to DFS for analysis except</w:t>
            </w:r>
            <w:r w:rsidR="00421D4E">
              <w:rPr>
                <w:rFonts w:asciiTheme="majorHAnsi" w:hAnsiTheme="majorHAnsi"/>
              </w:rPr>
              <w:t xml:space="preserve"> the following</w:t>
            </w:r>
            <w:r w:rsidRPr="005052E0">
              <w:rPr>
                <w:rFonts w:asciiTheme="majorHAnsi" w:hAnsiTheme="majorHAnsi"/>
              </w:rPr>
              <w:t xml:space="preserve">: </w:t>
            </w:r>
          </w:p>
          <w:p w:rsidR="00B65E23" w:rsidRPr="005052E0" w:rsidRDefault="00B65E23" w:rsidP="00746134">
            <w:pPr>
              <w:pStyle w:val="ListParagraph"/>
              <w:numPr>
                <w:ilvl w:val="0"/>
                <w:numId w:val="23"/>
              </w:numPr>
              <w:spacing w:after="0" w:line="240" w:lineRule="auto"/>
              <w:ind w:left="522"/>
              <w:rPr>
                <w:rFonts w:asciiTheme="majorHAnsi" w:hAnsiTheme="majorHAnsi"/>
                <w:sz w:val="24"/>
                <w:szCs w:val="24"/>
              </w:rPr>
            </w:pPr>
            <w:r w:rsidRPr="005052E0">
              <w:rPr>
                <w:rFonts w:asciiTheme="majorHAnsi" w:hAnsiTheme="majorHAnsi"/>
                <w:sz w:val="24"/>
                <w:szCs w:val="24"/>
              </w:rPr>
              <w:t>When the PERK is not necessary for identification of the suspect;</w:t>
            </w:r>
          </w:p>
          <w:p w:rsidR="00B65E23" w:rsidRPr="005052E0" w:rsidRDefault="00B65E23" w:rsidP="00746134">
            <w:pPr>
              <w:pStyle w:val="ListParagraph"/>
              <w:numPr>
                <w:ilvl w:val="0"/>
                <w:numId w:val="23"/>
              </w:numPr>
              <w:spacing w:after="0" w:line="240" w:lineRule="auto"/>
              <w:ind w:left="522"/>
              <w:rPr>
                <w:rFonts w:asciiTheme="majorHAnsi" w:hAnsiTheme="majorHAnsi"/>
                <w:sz w:val="24"/>
                <w:szCs w:val="24"/>
              </w:rPr>
            </w:pPr>
            <w:r w:rsidRPr="005052E0">
              <w:rPr>
                <w:rFonts w:asciiTheme="majorHAnsi" w:hAnsiTheme="majorHAnsi"/>
                <w:sz w:val="24"/>
                <w:szCs w:val="24"/>
              </w:rPr>
              <w:t>Anonymous/blind report PERKs;</w:t>
            </w:r>
          </w:p>
          <w:p w:rsidR="00B65E23" w:rsidRPr="005052E0" w:rsidRDefault="00B65E23" w:rsidP="00746134">
            <w:pPr>
              <w:pStyle w:val="ListParagraph"/>
              <w:numPr>
                <w:ilvl w:val="0"/>
                <w:numId w:val="23"/>
              </w:numPr>
              <w:spacing w:after="0" w:line="240" w:lineRule="auto"/>
              <w:ind w:left="522"/>
              <w:rPr>
                <w:rFonts w:asciiTheme="majorHAnsi" w:hAnsiTheme="majorHAnsi"/>
                <w:sz w:val="24"/>
                <w:szCs w:val="24"/>
              </w:rPr>
            </w:pPr>
            <w:r w:rsidRPr="005052E0">
              <w:rPr>
                <w:rFonts w:asciiTheme="majorHAnsi" w:hAnsiTheme="majorHAnsi"/>
                <w:sz w:val="24"/>
                <w:szCs w:val="24"/>
              </w:rPr>
              <w:t>PERKs collected by OCME in routine death investigations; and</w:t>
            </w:r>
          </w:p>
          <w:p w:rsidR="00B65E23" w:rsidRPr="005052E0" w:rsidRDefault="00B65E23" w:rsidP="00746134">
            <w:pPr>
              <w:pStyle w:val="ListParagraph"/>
              <w:numPr>
                <w:ilvl w:val="0"/>
                <w:numId w:val="23"/>
              </w:numPr>
              <w:spacing w:after="0" w:line="240" w:lineRule="auto"/>
              <w:ind w:left="522"/>
              <w:rPr>
                <w:rFonts w:asciiTheme="majorHAnsi" w:hAnsiTheme="majorHAnsi"/>
                <w:sz w:val="24"/>
                <w:szCs w:val="24"/>
              </w:rPr>
            </w:pPr>
            <w:r w:rsidRPr="005052E0">
              <w:rPr>
                <w:rFonts w:asciiTheme="majorHAnsi" w:hAnsiTheme="majorHAnsi"/>
                <w:sz w:val="24"/>
                <w:szCs w:val="24"/>
              </w:rPr>
              <w:t xml:space="preserve">PERKs related to out of state investigations. </w:t>
            </w:r>
          </w:p>
          <w:p w:rsidR="00B65E23" w:rsidRPr="00633D51" w:rsidRDefault="00B65E23" w:rsidP="00D758BB">
            <w:pPr>
              <w:rPr>
                <w:rFonts w:asciiTheme="majorHAnsi" w:hAnsiTheme="majorHAnsi"/>
                <w:sz w:val="16"/>
                <w:szCs w:val="16"/>
              </w:rPr>
            </w:pPr>
          </w:p>
          <w:p w:rsidR="00B65E23" w:rsidRPr="005052E0" w:rsidRDefault="00B65E23" w:rsidP="00D758BB">
            <w:pPr>
              <w:jc w:val="both"/>
              <w:rPr>
                <w:rFonts w:asciiTheme="majorHAnsi" w:hAnsiTheme="majorHAnsi" w:cs="Times New Roman"/>
              </w:rPr>
            </w:pPr>
            <w:r w:rsidRPr="005052E0">
              <w:rPr>
                <w:rFonts w:asciiTheme="majorHAnsi" w:hAnsiTheme="majorHAnsi" w:cs="Times New Roman"/>
              </w:rPr>
              <w:t>The Office of the Chief Medical Examiner should not be limited in any way in the use of PERKs in routine death investigation</w:t>
            </w:r>
            <w:r w:rsidR="00421D4E">
              <w:rPr>
                <w:rFonts w:asciiTheme="majorHAnsi" w:hAnsiTheme="majorHAnsi" w:cs="Times New Roman"/>
              </w:rPr>
              <w:t>s</w:t>
            </w:r>
            <w:r w:rsidRPr="005052E0">
              <w:rPr>
                <w:rFonts w:asciiTheme="majorHAnsi" w:hAnsiTheme="majorHAnsi" w:cs="Times New Roman"/>
              </w:rPr>
              <w:t>.  Submission of the PERKs for testing should be in the discretion of law enforcement, working in cooperation with and with the advice of the OCME.</w:t>
            </w:r>
          </w:p>
          <w:p w:rsidR="00B65E23" w:rsidRPr="00633D51" w:rsidRDefault="00B65E23" w:rsidP="00D758BB">
            <w:pPr>
              <w:rPr>
                <w:rFonts w:asciiTheme="majorHAnsi" w:hAnsiTheme="majorHAnsi"/>
                <w:sz w:val="16"/>
                <w:szCs w:val="16"/>
              </w:rPr>
            </w:pPr>
          </w:p>
          <w:p w:rsidR="00B65E23" w:rsidRPr="005052E0" w:rsidRDefault="00B65E23" w:rsidP="00D758BB">
            <w:pPr>
              <w:rPr>
                <w:rFonts w:asciiTheme="majorHAnsi" w:hAnsiTheme="majorHAnsi"/>
              </w:rPr>
            </w:pPr>
            <w:r w:rsidRPr="005052E0">
              <w:rPr>
                <w:rFonts w:asciiTheme="majorHAnsi" w:hAnsiTheme="majorHAnsi"/>
              </w:rPr>
              <w:t>All kits should be submitted to DFS for testing (there will be a fiscal impact to DFS).</w:t>
            </w:r>
          </w:p>
          <w:p w:rsidR="00B65E23" w:rsidRPr="000F7A91" w:rsidRDefault="00B65E23" w:rsidP="00D758BB">
            <w:pPr>
              <w:rPr>
                <w:rFonts w:asciiTheme="majorHAnsi" w:hAnsiTheme="majorHAnsi"/>
              </w:rPr>
            </w:pPr>
          </w:p>
          <w:p w:rsidR="00B65E23" w:rsidRPr="005052E0" w:rsidRDefault="00B65E23" w:rsidP="00D758BB">
            <w:pPr>
              <w:rPr>
                <w:rFonts w:asciiTheme="majorHAnsi" w:hAnsiTheme="majorHAnsi"/>
              </w:rPr>
            </w:pPr>
            <w:r w:rsidRPr="005052E0">
              <w:rPr>
                <w:rFonts w:asciiTheme="majorHAnsi" w:hAnsiTheme="majorHAnsi"/>
                <w:u w:val="single"/>
              </w:rPr>
              <w:t>Adopted as follows</w:t>
            </w:r>
            <w:r>
              <w:rPr>
                <w:rFonts w:asciiTheme="majorHAnsi" w:hAnsiTheme="majorHAnsi"/>
                <w:u w:val="single"/>
              </w:rPr>
              <w:t>:</w:t>
            </w:r>
            <w:r w:rsidRPr="005052E0">
              <w:rPr>
                <w:rFonts w:asciiTheme="majorHAnsi" w:hAnsiTheme="majorHAnsi"/>
              </w:rPr>
              <w:t xml:space="preserve">  all PERKs should be submitted to DFS for testing except: </w:t>
            </w:r>
          </w:p>
          <w:p w:rsidR="00B65E23" w:rsidRPr="005052E0" w:rsidRDefault="00B65E23" w:rsidP="00746134">
            <w:pPr>
              <w:pStyle w:val="ListParagraph"/>
              <w:numPr>
                <w:ilvl w:val="0"/>
                <w:numId w:val="24"/>
              </w:numPr>
              <w:spacing w:after="0" w:line="240" w:lineRule="auto"/>
              <w:ind w:left="522"/>
              <w:rPr>
                <w:rFonts w:asciiTheme="majorHAnsi" w:hAnsiTheme="majorHAnsi"/>
                <w:sz w:val="24"/>
                <w:szCs w:val="24"/>
              </w:rPr>
            </w:pPr>
            <w:r w:rsidRPr="005052E0">
              <w:rPr>
                <w:rFonts w:asciiTheme="majorHAnsi" w:hAnsiTheme="majorHAnsi"/>
                <w:sz w:val="24"/>
                <w:szCs w:val="24"/>
              </w:rPr>
              <w:t>Anonymous/blind report PERKs</w:t>
            </w:r>
            <w:r>
              <w:rPr>
                <w:rFonts w:asciiTheme="majorHAnsi" w:hAnsiTheme="majorHAnsi"/>
                <w:sz w:val="24"/>
                <w:szCs w:val="24"/>
              </w:rPr>
              <w:t>;</w:t>
            </w:r>
          </w:p>
          <w:p w:rsidR="00B65E23" w:rsidRPr="005052E0" w:rsidRDefault="00B65E23" w:rsidP="00746134">
            <w:pPr>
              <w:pStyle w:val="ListParagraph"/>
              <w:numPr>
                <w:ilvl w:val="0"/>
                <w:numId w:val="24"/>
              </w:numPr>
              <w:spacing w:after="0" w:line="240" w:lineRule="auto"/>
              <w:ind w:left="522"/>
              <w:rPr>
                <w:rFonts w:asciiTheme="majorHAnsi" w:hAnsiTheme="majorHAnsi"/>
                <w:sz w:val="24"/>
                <w:szCs w:val="24"/>
              </w:rPr>
            </w:pPr>
            <w:r w:rsidRPr="005052E0">
              <w:rPr>
                <w:rFonts w:asciiTheme="majorHAnsi" w:hAnsiTheme="majorHAnsi"/>
                <w:sz w:val="24"/>
                <w:szCs w:val="24"/>
              </w:rPr>
              <w:t xml:space="preserve">PERKs collected by the OCME in a </w:t>
            </w:r>
            <w:r>
              <w:rPr>
                <w:rFonts w:asciiTheme="majorHAnsi" w:hAnsiTheme="majorHAnsi"/>
                <w:sz w:val="24"/>
                <w:szCs w:val="24"/>
              </w:rPr>
              <w:t>routine death investigation;</w:t>
            </w:r>
          </w:p>
          <w:p w:rsidR="00B65E23" w:rsidRDefault="00B65E23" w:rsidP="00746134">
            <w:pPr>
              <w:pStyle w:val="ListParagraph"/>
              <w:numPr>
                <w:ilvl w:val="0"/>
                <w:numId w:val="24"/>
              </w:numPr>
              <w:spacing w:after="0" w:line="240" w:lineRule="auto"/>
              <w:ind w:left="522"/>
              <w:rPr>
                <w:rFonts w:asciiTheme="majorHAnsi" w:hAnsiTheme="majorHAnsi"/>
                <w:sz w:val="24"/>
                <w:szCs w:val="24"/>
              </w:rPr>
            </w:pPr>
            <w:r w:rsidRPr="005052E0">
              <w:rPr>
                <w:rFonts w:asciiTheme="majorHAnsi" w:hAnsiTheme="majorHAnsi"/>
                <w:sz w:val="24"/>
                <w:szCs w:val="24"/>
              </w:rPr>
              <w:t>PERKs related to out of state investigations; and</w:t>
            </w:r>
          </w:p>
          <w:p w:rsidR="00B65E23" w:rsidRDefault="00B65E23" w:rsidP="00746134">
            <w:pPr>
              <w:pStyle w:val="ListParagraph"/>
              <w:numPr>
                <w:ilvl w:val="0"/>
                <w:numId w:val="24"/>
              </w:numPr>
              <w:spacing w:after="0" w:line="240" w:lineRule="auto"/>
              <w:ind w:left="522"/>
              <w:rPr>
                <w:rFonts w:asciiTheme="majorHAnsi" w:hAnsiTheme="majorHAnsi"/>
                <w:sz w:val="24"/>
                <w:szCs w:val="24"/>
              </w:rPr>
            </w:pPr>
            <w:r>
              <w:rPr>
                <w:rFonts w:asciiTheme="majorHAnsi" w:hAnsiTheme="majorHAnsi"/>
                <w:sz w:val="24"/>
                <w:szCs w:val="24"/>
              </w:rPr>
              <w:t>When it has been determined that the evidence in the PERK was not related or connected to a criminal offense.</w:t>
            </w:r>
          </w:p>
          <w:p w:rsidR="00B65E23" w:rsidRPr="000F7A91" w:rsidRDefault="00B65E23" w:rsidP="00746134">
            <w:pPr>
              <w:pStyle w:val="ListParagraph"/>
              <w:spacing w:after="0" w:line="240" w:lineRule="auto"/>
              <w:ind w:left="522"/>
              <w:rPr>
                <w:rFonts w:asciiTheme="majorHAnsi" w:hAnsiTheme="majorHAnsi"/>
                <w:sz w:val="24"/>
                <w:szCs w:val="24"/>
              </w:rPr>
            </w:pPr>
          </w:p>
          <w:p w:rsidR="00B65E23" w:rsidRDefault="00B65E23" w:rsidP="00D758BB">
            <w:pPr>
              <w:rPr>
                <w:rFonts w:asciiTheme="majorHAnsi" w:hAnsiTheme="majorHAnsi"/>
              </w:rPr>
            </w:pPr>
            <w:r>
              <w:rPr>
                <w:rFonts w:asciiTheme="majorHAnsi" w:hAnsiTheme="majorHAnsi"/>
              </w:rPr>
              <w:t>New statutory language should be part of separate PERK Act.</w:t>
            </w:r>
          </w:p>
          <w:p w:rsidR="00B65E23" w:rsidRPr="000F7A91" w:rsidRDefault="00B65E23" w:rsidP="00D758BB">
            <w:pPr>
              <w:rPr>
                <w:rFonts w:asciiTheme="majorHAnsi" w:hAnsiTheme="majorHAnsi"/>
              </w:rPr>
            </w:pPr>
          </w:p>
          <w:p w:rsidR="00B65E23" w:rsidRDefault="00B65E23" w:rsidP="00D758BB">
            <w:pPr>
              <w:rPr>
                <w:rFonts w:asciiTheme="majorHAnsi" w:hAnsiTheme="majorHAnsi"/>
              </w:rPr>
            </w:pPr>
            <w:r w:rsidRPr="000E29E8">
              <w:rPr>
                <w:rFonts w:asciiTheme="majorHAnsi" w:hAnsiTheme="majorHAnsi"/>
                <w:u w:val="single"/>
              </w:rPr>
              <w:lastRenderedPageBreak/>
              <w:t>Fiscal Impact</w:t>
            </w:r>
            <w:r>
              <w:rPr>
                <w:rFonts w:asciiTheme="majorHAnsi" w:hAnsiTheme="majorHAnsi"/>
                <w:u w:val="single"/>
              </w:rPr>
              <w:t xml:space="preserve"> (preliminary, DFS will be reviewing)</w:t>
            </w:r>
            <w:r w:rsidRPr="000E29E8">
              <w:rPr>
                <w:rFonts w:asciiTheme="majorHAnsi" w:hAnsiTheme="majorHAnsi"/>
                <w:u w:val="single"/>
              </w:rPr>
              <w:t>:</w:t>
            </w:r>
            <w:r>
              <w:rPr>
                <w:rFonts w:asciiTheme="majorHAnsi" w:hAnsiTheme="majorHAnsi"/>
              </w:rPr>
              <w:t xml:space="preserve"> DFS anticipates an additional 6 FTEs (</w:t>
            </w:r>
            <w:r w:rsidR="000F7A91">
              <w:rPr>
                <w:rFonts w:asciiTheme="majorHAnsi" w:hAnsiTheme="majorHAnsi"/>
              </w:rPr>
              <w:t>DNA examiners</w:t>
            </w:r>
            <w:r>
              <w:rPr>
                <w:rFonts w:asciiTheme="majorHAnsi" w:hAnsiTheme="majorHAnsi"/>
              </w:rPr>
              <w:t xml:space="preserve"> in the Forensic Biology Section) will be required to analyze the estimated 700+ PERKs that will be received annually.  Estimated cost is ~$900,000 (includes salary</w:t>
            </w:r>
            <w:r w:rsidR="000F7A91">
              <w:rPr>
                <w:rFonts w:asciiTheme="majorHAnsi" w:hAnsiTheme="majorHAnsi"/>
              </w:rPr>
              <w:t>/</w:t>
            </w:r>
            <w:r>
              <w:rPr>
                <w:rFonts w:asciiTheme="majorHAnsi" w:hAnsiTheme="majorHAnsi"/>
              </w:rPr>
              <w:t>benefits for 6 FTEs, plus DNA kits, chemistries and other associated costs).</w:t>
            </w:r>
            <w:r w:rsidR="000F7A91">
              <w:rPr>
                <w:rFonts w:asciiTheme="majorHAnsi" w:hAnsiTheme="majorHAnsi"/>
              </w:rPr>
              <w:t xml:space="preserve">  Funding for outsourced testing during first year will allow for the increased volume of PERKs to be tested as DFS builds additional capacity through training of 6 new DNA examiners.</w:t>
            </w:r>
          </w:p>
          <w:p w:rsidR="00B65E23" w:rsidRPr="000F7A91" w:rsidRDefault="00B65E23" w:rsidP="00D758BB">
            <w:pPr>
              <w:rPr>
                <w:rFonts w:asciiTheme="majorHAnsi" w:hAnsiTheme="majorHAnsi"/>
              </w:rPr>
            </w:pPr>
          </w:p>
          <w:p w:rsidR="00B65E23" w:rsidRDefault="00B65E23" w:rsidP="00D758BB">
            <w:pPr>
              <w:rPr>
                <w:rFonts w:asciiTheme="majorHAnsi" w:hAnsiTheme="majorHAnsi"/>
              </w:rPr>
            </w:pPr>
            <w:r>
              <w:rPr>
                <w:rFonts w:asciiTheme="majorHAnsi" w:hAnsiTheme="majorHAnsi"/>
              </w:rPr>
              <w:t xml:space="preserve">Budget language to include 90 day turnaround time as aspirational goal for all DNA cases (public safety concern).  Priority for PERK testing should be stressed. </w:t>
            </w:r>
          </w:p>
          <w:p w:rsidR="00B65E23" w:rsidRDefault="00B65E23" w:rsidP="00D758BB">
            <w:pPr>
              <w:rPr>
                <w:rFonts w:asciiTheme="majorHAnsi" w:hAnsiTheme="majorHAnsi"/>
              </w:rPr>
            </w:pPr>
          </w:p>
          <w:p w:rsidR="00B65E23" w:rsidRDefault="00B65E23" w:rsidP="00D758BB">
            <w:pPr>
              <w:rPr>
                <w:rFonts w:asciiTheme="majorHAnsi" w:hAnsiTheme="majorHAnsi"/>
              </w:rPr>
            </w:pPr>
            <w:r>
              <w:rPr>
                <w:rFonts w:asciiTheme="majorHAnsi" w:hAnsiTheme="majorHAnsi"/>
              </w:rPr>
              <w:t>DFS to report information on turnaround times (precise mechanism not specified – discussed Forensic Science Board Annual Report and Performance Measures in Virginia Performs).</w:t>
            </w:r>
          </w:p>
          <w:p w:rsidR="00B65E23" w:rsidRPr="000F142D" w:rsidRDefault="00B65E23" w:rsidP="00D758BB">
            <w:pPr>
              <w:rPr>
                <w:rFonts w:asciiTheme="majorHAnsi" w:hAnsiTheme="majorHAnsi"/>
                <w:sz w:val="20"/>
                <w:szCs w:val="20"/>
              </w:rPr>
            </w:pPr>
          </w:p>
        </w:tc>
        <w:tc>
          <w:tcPr>
            <w:tcW w:w="2250" w:type="dxa"/>
          </w:tcPr>
          <w:p w:rsidR="00B65E23" w:rsidRPr="005052E0" w:rsidRDefault="00B65E23" w:rsidP="00D758BB">
            <w:pPr>
              <w:rPr>
                <w:rFonts w:asciiTheme="majorHAnsi" w:hAnsiTheme="majorHAnsi"/>
              </w:rPr>
            </w:pPr>
            <w:r w:rsidRPr="005052E0">
              <w:rPr>
                <w:rFonts w:asciiTheme="majorHAnsi" w:hAnsiTheme="majorHAnsi"/>
              </w:rPr>
              <w:lastRenderedPageBreak/>
              <w:t>Law Enforcement</w:t>
            </w:r>
          </w:p>
          <w:p w:rsidR="00B65E23" w:rsidRPr="005052E0" w:rsidRDefault="00B65E23" w:rsidP="00D758BB">
            <w:pPr>
              <w:rPr>
                <w:rFonts w:asciiTheme="majorHAnsi" w:hAnsiTheme="majorHAnsi"/>
              </w:rPr>
            </w:pPr>
          </w:p>
          <w:p w:rsidR="00B65E23" w:rsidRPr="005052E0" w:rsidRDefault="00B65E23" w:rsidP="00D758BB">
            <w:pPr>
              <w:rPr>
                <w:rFonts w:asciiTheme="majorHAnsi" w:hAnsiTheme="majorHAnsi"/>
              </w:rPr>
            </w:pPr>
          </w:p>
          <w:p w:rsidR="00B65E23" w:rsidRPr="005052E0" w:rsidRDefault="00B65E23" w:rsidP="00D758BB">
            <w:pPr>
              <w:rPr>
                <w:rFonts w:asciiTheme="majorHAnsi" w:hAnsiTheme="majorHAnsi"/>
              </w:rPr>
            </w:pPr>
          </w:p>
          <w:p w:rsidR="00B65E23" w:rsidRPr="005052E0" w:rsidRDefault="00B65E23" w:rsidP="00D758BB">
            <w:pPr>
              <w:rPr>
                <w:rFonts w:asciiTheme="majorHAnsi" w:hAnsiTheme="majorHAnsi"/>
              </w:rPr>
            </w:pPr>
          </w:p>
          <w:p w:rsidR="00B65E23" w:rsidRPr="005052E0" w:rsidRDefault="00B65E23" w:rsidP="00D758BB">
            <w:pPr>
              <w:rPr>
                <w:rFonts w:asciiTheme="majorHAnsi" w:hAnsiTheme="majorHAnsi"/>
              </w:rPr>
            </w:pPr>
          </w:p>
          <w:p w:rsidR="00B65E23" w:rsidRPr="005052E0" w:rsidRDefault="00B65E23" w:rsidP="00D758BB">
            <w:pPr>
              <w:rPr>
                <w:rFonts w:asciiTheme="majorHAnsi" w:hAnsiTheme="majorHAnsi"/>
              </w:rPr>
            </w:pPr>
          </w:p>
          <w:p w:rsidR="00B65E23" w:rsidRPr="00633D51" w:rsidRDefault="00B65E23" w:rsidP="00D758BB">
            <w:pPr>
              <w:rPr>
                <w:rFonts w:asciiTheme="majorHAnsi" w:hAnsiTheme="majorHAnsi"/>
                <w:sz w:val="16"/>
                <w:szCs w:val="16"/>
              </w:rPr>
            </w:pPr>
          </w:p>
          <w:p w:rsidR="00B65E23" w:rsidRPr="005052E0" w:rsidRDefault="00B65E23" w:rsidP="00D758BB">
            <w:pPr>
              <w:rPr>
                <w:rFonts w:asciiTheme="majorHAnsi" w:hAnsiTheme="majorHAnsi"/>
              </w:rPr>
            </w:pPr>
            <w:r w:rsidRPr="005052E0">
              <w:rPr>
                <w:rFonts w:asciiTheme="majorHAnsi" w:hAnsiTheme="majorHAnsi"/>
              </w:rPr>
              <w:t>Hospital/Collection</w:t>
            </w:r>
          </w:p>
          <w:p w:rsidR="00B65E23" w:rsidRPr="005052E0" w:rsidRDefault="00B65E23" w:rsidP="00D758BB">
            <w:pPr>
              <w:rPr>
                <w:rFonts w:asciiTheme="majorHAnsi" w:hAnsiTheme="majorHAnsi"/>
              </w:rPr>
            </w:pPr>
          </w:p>
          <w:p w:rsidR="00B65E23" w:rsidRPr="005052E0" w:rsidRDefault="00B65E23" w:rsidP="00D758BB">
            <w:pPr>
              <w:rPr>
                <w:rFonts w:asciiTheme="majorHAnsi" w:hAnsiTheme="majorHAnsi"/>
              </w:rPr>
            </w:pPr>
          </w:p>
          <w:p w:rsidR="00B65E23" w:rsidRPr="005052E0" w:rsidRDefault="00B65E23" w:rsidP="00D758BB">
            <w:pPr>
              <w:rPr>
                <w:rFonts w:asciiTheme="majorHAnsi" w:hAnsiTheme="majorHAnsi"/>
              </w:rPr>
            </w:pPr>
          </w:p>
          <w:p w:rsidR="00B65E23" w:rsidRPr="005052E0" w:rsidRDefault="00B65E23" w:rsidP="00D758BB">
            <w:pPr>
              <w:rPr>
                <w:rFonts w:asciiTheme="majorHAnsi" w:hAnsiTheme="majorHAnsi"/>
              </w:rPr>
            </w:pPr>
          </w:p>
          <w:p w:rsidR="00B65E23" w:rsidRPr="00633D51" w:rsidRDefault="00B65E23" w:rsidP="00D758BB">
            <w:pPr>
              <w:rPr>
                <w:rFonts w:asciiTheme="majorHAnsi" w:hAnsiTheme="majorHAnsi"/>
                <w:sz w:val="16"/>
                <w:szCs w:val="16"/>
              </w:rPr>
            </w:pPr>
          </w:p>
          <w:p w:rsidR="00B65E23" w:rsidRPr="005052E0" w:rsidRDefault="00B65E23" w:rsidP="00D758BB">
            <w:pPr>
              <w:rPr>
                <w:rFonts w:asciiTheme="majorHAnsi" w:hAnsiTheme="majorHAnsi"/>
              </w:rPr>
            </w:pPr>
            <w:r w:rsidRPr="005052E0">
              <w:rPr>
                <w:rFonts w:asciiTheme="majorHAnsi" w:hAnsiTheme="majorHAnsi"/>
              </w:rPr>
              <w:t>Victim</w:t>
            </w:r>
          </w:p>
        </w:tc>
      </w:tr>
      <w:tr w:rsidR="00B65E23" w:rsidRPr="005052E0" w:rsidTr="00D758BB">
        <w:tc>
          <w:tcPr>
            <w:tcW w:w="558" w:type="dxa"/>
          </w:tcPr>
          <w:p w:rsidR="00B65E23" w:rsidRPr="005052E0" w:rsidRDefault="00B65E23" w:rsidP="00D758BB">
            <w:pPr>
              <w:rPr>
                <w:rFonts w:asciiTheme="majorHAnsi" w:hAnsiTheme="majorHAnsi"/>
              </w:rPr>
            </w:pPr>
            <w:r w:rsidRPr="005052E0">
              <w:rPr>
                <w:rFonts w:asciiTheme="majorHAnsi" w:hAnsiTheme="majorHAnsi"/>
              </w:rPr>
              <w:lastRenderedPageBreak/>
              <w:t>10</w:t>
            </w:r>
          </w:p>
        </w:tc>
        <w:tc>
          <w:tcPr>
            <w:tcW w:w="7110" w:type="dxa"/>
          </w:tcPr>
          <w:p w:rsidR="00B65E23" w:rsidRDefault="00B65E23" w:rsidP="00D758BB">
            <w:pPr>
              <w:rPr>
                <w:rFonts w:asciiTheme="majorHAnsi" w:hAnsiTheme="majorHAnsi"/>
              </w:rPr>
            </w:pPr>
            <w:r w:rsidRPr="005052E0">
              <w:rPr>
                <w:rFonts w:asciiTheme="majorHAnsi" w:hAnsiTheme="majorHAnsi"/>
              </w:rPr>
              <w:t xml:space="preserve">Code § 19.2-11.01 (Crime victim and witness rights) and the Crime Victims Bill of Rights should be modified to include language addressing the victim’s right to be informed about submission to lab, testing timeframes, results of analysis, and timeframes regarding destruction of evidence. The subcommittee also discussed the need for there to be discretion in the timeline for notifications based on the investigation.  See Pennsylvania statute for possible language (e.g., allows for discretion, but requires victim and/or guardian to be informed of expected timeframe for being told relevant information). </w:t>
            </w:r>
          </w:p>
          <w:p w:rsidR="00B65E23" w:rsidRDefault="00B65E23" w:rsidP="00D758BB">
            <w:pPr>
              <w:rPr>
                <w:rFonts w:asciiTheme="majorHAnsi" w:hAnsiTheme="majorHAnsi"/>
              </w:rPr>
            </w:pPr>
          </w:p>
          <w:p w:rsidR="00B65E23" w:rsidRPr="005052E0" w:rsidRDefault="00B65E23" w:rsidP="00D758BB">
            <w:pPr>
              <w:rPr>
                <w:rFonts w:asciiTheme="majorHAnsi" w:hAnsiTheme="majorHAnsi"/>
              </w:rPr>
            </w:pPr>
            <w:r w:rsidRPr="005052E0">
              <w:rPr>
                <w:rFonts w:asciiTheme="majorHAnsi" w:hAnsiTheme="majorHAnsi"/>
                <w:u w:val="single"/>
              </w:rPr>
              <w:t xml:space="preserve">Adopted as </w:t>
            </w:r>
            <w:r>
              <w:rPr>
                <w:rFonts w:asciiTheme="majorHAnsi" w:hAnsiTheme="majorHAnsi"/>
                <w:u w:val="single"/>
              </w:rPr>
              <w:t>follows:</w:t>
            </w:r>
            <w:r w:rsidRPr="001C4B7D">
              <w:rPr>
                <w:rFonts w:asciiTheme="majorHAnsi" w:hAnsiTheme="majorHAnsi"/>
              </w:rPr>
              <w:t xml:space="preserve">  </w:t>
            </w:r>
            <w:r w:rsidR="00670EB6">
              <w:rPr>
                <w:rFonts w:asciiTheme="majorHAnsi" w:hAnsiTheme="majorHAnsi"/>
              </w:rPr>
              <w:t>a</w:t>
            </w:r>
            <w:r>
              <w:rPr>
                <w:rFonts w:asciiTheme="majorHAnsi" w:hAnsiTheme="majorHAnsi"/>
              </w:rPr>
              <w:t>ny necessary changes should be made to Crime Victims Bill of Rights; however, new victim notification statutory language should be part of separate PERK Act.</w:t>
            </w:r>
          </w:p>
          <w:p w:rsidR="00B65E23" w:rsidRPr="000F142D" w:rsidRDefault="00B65E23" w:rsidP="00D758BB">
            <w:pPr>
              <w:rPr>
                <w:rFonts w:asciiTheme="majorHAnsi" w:hAnsiTheme="majorHAnsi"/>
                <w:sz w:val="20"/>
                <w:szCs w:val="20"/>
              </w:rPr>
            </w:pPr>
          </w:p>
        </w:tc>
        <w:tc>
          <w:tcPr>
            <w:tcW w:w="2250" w:type="dxa"/>
          </w:tcPr>
          <w:p w:rsidR="00B65E23" w:rsidRPr="005052E0" w:rsidRDefault="00B65E23" w:rsidP="00D758BB">
            <w:pPr>
              <w:rPr>
                <w:rFonts w:asciiTheme="majorHAnsi" w:hAnsiTheme="majorHAnsi"/>
              </w:rPr>
            </w:pPr>
            <w:r w:rsidRPr="005052E0">
              <w:rPr>
                <w:rFonts w:asciiTheme="majorHAnsi" w:hAnsiTheme="majorHAnsi"/>
              </w:rPr>
              <w:t>Victim</w:t>
            </w:r>
          </w:p>
        </w:tc>
      </w:tr>
      <w:tr w:rsidR="00B65E23" w:rsidRPr="005052E0" w:rsidTr="00D758BB">
        <w:tc>
          <w:tcPr>
            <w:tcW w:w="558" w:type="dxa"/>
          </w:tcPr>
          <w:p w:rsidR="00B65E23" w:rsidRPr="005052E0" w:rsidRDefault="00B65E23" w:rsidP="00D758BB">
            <w:pPr>
              <w:contextualSpacing/>
              <w:jc w:val="both"/>
              <w:rPr>
                <w:rFonts w:asciiTheme="majorHAnsi" w:eastAsia="Calibri" w:hAnsiTheme="majorHAnsi" w:cs="Times New Roman"/>
              </w:rPr>
            </w:pPr>
            <w:r w:rsidRPr="005052E0">
              <w:rPr>
                <w:rFonts w:asciiTheme="majorHAnsi" w:eastAsia="Calibri" w:hAnsiTheme="majorHAnsi" w:cs="Times New Roman"/>
              </w:rPr>
              <w:t>11</w:t>
            </w:r>
          </w:p>
        </w:tc>
        <w:tc>
          <w:tcPr>
            <w:tcW w:w="7110" w:type="dxa"/>
          </w:tcPr>
          <w:p w:rsidR="00B65E23" w:rsidRDefault="00B65E23" w:rsidP="00D758BB">
            <w:pPr>
              <w:contextualSpacing/>
              <w:jc w:val="both"/>
              <w:rPr>
                <w:rFonts w:asciiTheme="majorHAnsi" w:eastAsia="Calibri" w:hAnsiTheme="majorHAnsi" w:cs="Times New Roman"/>
              </w:rPr>
            </w:pPr>
            <w:r w:rsidRPr="005052E0">
              <w:rPr>
                <w:rFonts w:asciiTheme="majorHAnsi" w:eastAsia="Calibri" w:hAnsiTheme="majorHAnsi" w:cs="Times New Roman"/>
              </w:rPr>
              <w:t xml:space="preserve">DFS should amend its Request for Laboratory Examination (RFLE) Form to increase the font size of the language referencing the evidence is being submitted in connection with a criminal investigation and also look at making it a certification by the investigating officer, perhaps requiring the investigating officer to initial or sign the certification.  </w:t>
            </w:r>
          </w:p>
          <w:p w:rsidR="00B65E23" w:rsidRDefault="00B65E23" w:rsidP="00D758BB">
            <w:pPr>
              <w:contextualSpacing/>
              <w:jc w:val="both"/>
              <w:rPr>
                <w:rFonts w:asciiTheme="majorHAnsi" w:eastAsia="Calibri" w:hAnsiTheme="majorHAnsi" w:cs="Times New Roman"/>
                <w:sz w:val="20"/>
                <w:szCs w:val="20"/>
              </w:rPr>
            </w:pPr>
          </w:p>
          <w:p w:rsidR="00B65E23" w:rsidRPr="005052E0" w:rsidRDefault="00B65E23" w:rsidP="00D758BB">
            <w:pPr>
              <w:rPr>
                <w:rFonts w:asciiTheme="majorHAnsi" w:hAnsiTheme="majorHAnsi"/>
              </w:rPr>
            </w:pPr>
            <w:r>
              <w:rPr>
                <w:rFonts w:asciiTheme="majorHAnsi" w:hAnsiTheme="majorHAnsi"/>
                <w:u w:val="single"/>
              </w:rPr>
              <w:t>Adopted;</w:t>
            </w:r>
            <w:r w:rsidRPr="001C4B7D">
              <w:rPr>
                <w:rFonts w:asciiTheme="majorHAnsi" w:hAnsiTheme="majorHAnsi"/>
              </w:rPr>
              <w:t xml:space="preserve"> </w:t>
            </w:r>
            <w:r>
              <w:rPr>
                <w:rFonts w:asciiTheme="majorHAnsi" w:hAnsiTheme="majorHAnsi"/>
              </w:rPr>
              <w:t xml:space="preserve">however, because of the large volume of RFLEs already in print, DFS advised that it will provide the information on a handout distributed to the submitting officer anytime a PERK is received by the laboratory and that it will look to implement the certification language once its moves to electronic entry of RFLEs.   </w:t>
            </w:r>
          </w:p>
          <w:p w:rsidR="00B65E23" w:rsidRPr="000F142D" w:rsidRDefault="00B65E23" w:rsidP="00D758BB">
            <w:pPr>
              <w:contextualSpacing/>
              <w:jc w:val="both"/>
              <w:rPr>
                <w:rFonts w:asciiTheme="majorHAnsi" w:eastAsia="Calibri" w:hAnsiTheme="majorHAnsi" w:cs="Times New Roman"/>
                <w:sz w:val="20"/>
                <w:szCs w:val="20"/>
              </w:rPr>
            </w:pPr>
          </w:p>
        </w:tc>
        <w:tc>
          <w:tcPr>
            <w:tcW w:w="2250" w:type="dxa"/>
          </w:tcPr>
          <w:p w:rsidR="00B65E23" w:rsidRPr="005052E0" w:rsidRDefault="00B65E23" w:rsidP="00D758BB">
            <w:pPr>
              <w:rPr>
                <w:rFonts w:asciiTheme="majorHAnsi" w:hAnsiTheme="majorHAnsi"/>
              </w:rPr>
            </w:pPr>
            <w:r w:rsidRPr="005052E0">
              <w:rPr>
                <w:rFonts w:asciiTheme="majorHAnsi" w:hAnsiTheme="majorHAnsi"/>
              </w:rPr>
              <w:t>Data Bank/Testing</w:t>
            </w:r>
          </w:p>
        </w:tc>
      </w:tr>
      <w:tr w:rsidR="00B65E23" w:rsidRPr="005052E0" w:rsidTr="00746134">
        <w:trPr>
          <w:trHeight w:val="2933"/>
        </w:trPr>
        <w:tc>
          <w:tcPr>
            <w:tcW w:w="558" w:type="dxa"/>
          </w:tcPr>
          <w:p w:rsidR="00B65E23" w:rsidRPr="005052E0" w:rsidRDefault="00B65E23" w:rsidP="00D758BB">
            <w:pPr>
              <w:rPr>
                <w:rFonts w:asciiTheme="majorHAnsi" w:hAnsiTheme="majorHAnsi"/>
              </w:rPr>
            </w:pPr>
            <w:r w:rsidRPr="005052E0">
              <w:rPr>
                <w:rFonts w:asciiTheme="majorHAnsi" w:hAnsiTheme="majorHAnsi"/>
              </w:rPr>
              <w:lastRenderedPageBreak/>
              <w:t>12</w:t>
            </w:r>
          </w:p>
        </w:tc>
        <w:tc>
          <w:tcPr>
            <w:tcW w:w="7110" w:type="dxa"/>
          </w:tcPr>
          <w:p w:rsidR="00B65E23" w:rsidRDefault="00B65E23" w:rsidP="00D758BB">
            <w:pPr>
              <w:rPr>
                <w:rFonts w:asciiTheme="majorHAnsi" w:hAnsiTheme="majorHAnsi"/>
              </w:rPr>
            </w:pPr>
            <w:r w:rsidRPr="005052E0">
              <w:rPr>
                <w:rFonts w:asciiTheme="majorHAnsi" w:hAnsiTheme="majorHAnsi"/>
              </w:rPr>
              <w:t>Language should be added to the DFS Request for Laboratory Examination (RFLE) form requesting law enforcement to notify DFS of a case status change which may impact CODIS status (i.e., when law enforcement determines the evidence is not related to a criminal offense).</w:t>
            </w:r>
          </w:p>
          <w:p w:rsidR="00B65E23" w:rsidRDefault="00B65E23" w:rsidP="00D758BB">
            <w:pPr>
              <w:rPr>
                <w:rFonts w:asciiTheme="majorHAnsi" w:hAnsiTheme="majorHAnsi"/>
              </w:rPr>
            </w:pPr>
          </w:p>
          <w:p w:rsidR="00B65E23" w:rsidRDefault="00B65E23" w:rsidP="00D758BB">
            <w:pPr>
              <w:rPr>
                <w:rFonts w:asciiTheme="majorHAnsi" w:hAnsiTheme="majorHAnsi"/>
              </w:rPr>
            </w:pPr>
            <w:r>
              <w:rPr>
                <w:rFonts w:asciiTheme="majorHAnsi" w:hAnsiTheme="majorHAnsi"/>
                <w:u w:val="single"/>
              </w:rPr>
              <w:t>Adopted;</w:t>
            </w:r>
            <w:r w:rsidRPr="001C4B7D">
              <w:rPr>
                <w:rFonts w:asciiTheme="majorHAnsi" w:hAnsiTheme="majorHAnsi"/>
              </w:rPr>
              <w:t xml:space="preserve"> </w:t>
            </w:r>
            <w:r>
              <w:rPr>
                <w:rFonts w:asciiTheme="majorHAnsi" w:hAnsiTheme="majorHAnsi"/>
              </w:rPr>
              <w:t xml:space="preserve">however, because of the large volume of RFLEs already in print, DFS advised it will provide the information on a handout distributed to the submitting officer anytime a PERK is received by the laboratory.  </w:t>
            </w:r>
          </w:p>
          <w:p w:rsidR="00B65E23" w:rsidRDefault="00B65E23" w:rsidP="00D758BB">
            <w:pPr>
              <w:rPr>
                <w:rFonts w:asciiTheme="majorHAnsi" w:hAnsiTheme="majorHAnsi"/>
                <w:sz w:val="20"/>
                <w:szCs w:val="20"/>
              </w:rPr>
            </w:pPr>
          </w:p>
          <w:p w:rsidR="000F7A91" w:rsidRPr="000F142D" w:rsidRDefault="000F7A91" w:rsidP="00D758BB">
            <w:pPr>
              <w:rPr>
                <w:rFonts w:asciiTheme="majorHAnsi" w:hAnsiTheme="majorHAnsi"/>
                <w:sz w:val="20"/>
                <w:szCs w:val="20"/>
              </w:rPr>
            </w:pPr>
          </w:p>
        </w:tc>
        <w:tc>
          <w:tcPr>
            <w:tcW w:w="2250" w:type="dxa"/>
          </w:tcPr>
          <w:p w:rsidR="00B65E23" w:rsidRPr="005052E0" w:rsidRDefault="00B65E23" w:rsidP="00D758BB">
            <w:pPr>
              <w:rPr>
                <w:rFonts w:asciiTheme="majorHAnsi" w:hAnsiTheme="majorHAnsi"/>
              </w:rPr>
            </w:pPr>
            <w:r w:rsidRPr="005052E0">
              <w:rPr>
                <w:rFonts w:asciiTheme="majorHAnsi" w:hAnsiTheme="majorHAnsi"/>
              </w:rPr>
              <w:t>Law Enforcement</w:t>
            </w:r>
          </w:p>
        </w:tc>
      </w:tr>
      <w:tr w:rsidR="00B65E23" w:rsidRPr="005052E0" w:rsidTr="00D758BB">
        <w:tc>
          <w:tcPr>
            <w:tcW w:w="558" w:type="dxa"/>
          </w:tcPr>
          <w:p w:rsidR="00B65E23" w:rsidRPr="005052E0" w:rsidRDefault="00B65E23" w:rsidP="00D758BB">
            <w:pPr>
              <w:jc w:val="both"/>
              <w:rPr>
                <w:rFonts w:asciiTheme="majorHAnsi" w:hAnsiTheme="majorHAnsi" w:cs="Times New Roman"/>
              </w:rPr>
            </w:pPr>
            <w:r w:rsidRPr="005052E0">
              <w:rPr>
                <w:rFonts w:asciiTheme="majorHAnsi" w:hAnsiTheme="majorHAnsi" w:cs="Times New Roman"/>
              </w:rPr>
              <w:t>13</w:t>
            </w:r>
          </w:p>
        </w:tc>
        <w:tc>
          <w:tcPr>
            <w:tcW w:w="7110" w:type="dxa"/>
          </w:tcPr>
          <w:p w:rsidR="00B65E23" w:rsidRDefault="00B65E23" w:rsidP="00D758BB">
            <w:pPr>
              <w:jc w:val="both"/>
              <w:rPr>
                <w:rFonts w:asciiTheme="majorHAnsi" w:hAnsiTheme="majorHAnsi" w:cs="Times New Roman"/>
              </w:rPr>
            </w:pPr>
            <w:r w:rsidRPr="005052E0">
              <w:rPr>
                <w:rFonts w:asciiTheme="majorHAnsi" w:hAnsiTheme="majorHAnsi" w:cs="Times New Roman"/>
              </w:rPr>
              <w:t>No new statutory language regarding the scope of testing is required as DFS already appropriately has discretion to conduct scientific testing as deemed necessary by the law enforcement investigation.</w:t>
            </w:r>
          </w:p>
          <w:p w:rsidR="00B65E23" w:rsidRDefault="00B65E23" w:rsidP="00D758BB">
            <w:pPr>
              <w:jc w:val="both"/>
              <w:rPr>
                <w:rFonts w:asciiTheme="majorHAnsi" w:hAnsiTheme="majorHAnsi" w:cs="Times New Roman"/>
              </w:rPr>
            </w:pPr>
          </w:p>
          <w:p w:rsidR="00B65E23" w:rsidRPr="005052E0" w:rsidRDefault="00B65E23" w:rsidP="00D758BB">
            <w:pPr>
              <w:jc w:val="both"/>
              <w:rPr>
                <w:rFonts w:asciiTheme="majorHAnsi" w:hAnsiTheme="majorHAnsi" w:cs="Times New Roman"/>
              </w:rPr>
            </w:pPr>
            <w:r w:rsidRPr="005052E0">
              <w:rPr>
                <w:rFonts w:asciiTheme="majorHAnsi" w:hAnsiTheme="majorHAnsi"/>
                <w:u w:val="single"/>
              </w:rPr>
              <w:t>Adopted as recommended</w:t>
            </w:r>
            <w:r>
              <w:rPr>
                <w:rFonts w:asciiTheme="majorHAnsi" w:hAnsiTheme="majorHAnsi"/>
                <w:u w:val="single"/>
              </w:rPr>
              <w:t>.</w:t>
            </w:r>
          </w:p>
          <w:p w:rsidR="00B65E23" w:rsidRPr="000F142D" w:rsidRDefault="00B65E23" w:rsidP="00D758BB">
            <w:pPr>
              <w:rPr>
                <w:rFonts w:asciiTheme="majorHAnsi" w:hAnsiTheme="majorHAnsi"/>
                <w:sz w:val="20"/>
                <w:szCs w:val="20"/>
              </w:rPr>
            </w:pPr>
          </w:p>
        </w:tc>
        <w:tc>
          <w:tcPr>
            <w:tcW w:w="2250" w:type="dxa"/>
          </w:tcPr>
          <w:p w:rsidR="00B65E23" w:rsidRPr="005052E0" w:rsidRDefault="00B65E23" w:rsidP="00D758BB">
            <w:pPr>
              <w:rPr>
                <w:rFonts w:asciiTheme="majorHAnsi" w:hAnsiTheme="majorHAnsi"/>
              </w:rPr>
            </w:pPr>
            <w:r w:rsidRPr="005052E0">
              <w:rPr>
                <w:rFonts w:asciiTheme="majorHAnsi" w:hAnsiTheme="majorHAnsi"/>
              </w:rPr>
              <w:t>Data Bank/Testing</w:t>
            </w:r>
          </w:p>
        </w:tc>
      </w:tr>
      <w:tr w:rsidR="00B65E23" w:rsidRPr="005052E0" w:rsidTr="00D758BB">
        <w:tc>
          <w:tcPr>
            <w:tcW w:w="558" w:type="dxa"/>
          </w:tcPr>
          <w:p w:rsidR="00B65E23" w:rsidRPr="005052E0" w:rsidRDefault="00B65E23" w:rsidP="00D758BB">
            <w:pPr>
              <w:jc w:val="both"/>
              <w:rPr>
                <w:rFonts w:asciiTheme="majorHAnsi" w:hAnsiTheme="majorHAnsi" w:cs="Times New Roman"/>
              </w:rPr>
            </w:pPr>
            <w:r w:rsidRPr="005052E0">
              <w:rPr>
                <w:rFonts w:asciiTheme="majorHAnsi" w:hAnsiTheme="majorHAnsi" w:cs="Times New Roman"/>
              </w:rPr>
              <w:t>14</w:t>
            </w:r>
          </w:p>
        </w:tc>
        <w:tc>
          <w:tcPr>
            <w:tcW w:w="7110" w:type="dxa"/>
          </w:tcPr>
          <w:p w:rsidR="00B65E23" w:rsidRPr="005052E0" w:rsidRDefault="00B65E23" w:rsidP="00D758BB">
            <w:pPr>
              <w:jc w:val="both"/>
              <w:rPr>
                <w:rFonts w:asciiTheme="majorHAnsi" w:hAnsiTheme="majorHAnsi" w:cs="Times New Roman"/>
              </w:rPr>
            </w:pPr>
            <w:r w:rsidRPr="005052E0">
              <w:rPr>
                <w:rFonts w:asciiTheme="majorHAnsi" w:hAnsiTheme="majorHAnsi" w:cs="Times New Roman"/>
              </w:rPr>
              <w:t>No legislation is necessary regarding outsourcing.</w:t>
            </w:r>
          </w:p>
          <w:p w:rsidR="00B65E23" w:rsidRDefault="00B65E23" w:rsidP="00D758BB">
            <w:pPr>
              <w:rPr>
                <w:rFonts w:asciiTheme="majorHAnsi" w:hAnsiTheme="majorHAnsi"/>
                <w:sz w:val="20"/>
                <w:szCs w:val="20"/>
              </w:rPr>
            </w:pPr>
          </w:p>
          <w:p w:rsidR="00B65E23" w:rsidRDefault="00B65E23" w:rsidP="00D758BB">
            <w:pPr>
              <w:rPr>
                <w:rFonts w:asciiTheme="majorHAnsi" w:hAnsiTheme="majorHAnsi"/>
                <w:u w:val="single"/>
              </w:rPr>
            </w:pPr>
            <w:r w:rsidRPr="005052E0">
              <w:rPr>
                <w:rFonts w:asciiTheme="majorHAnsi" w:hAnsiTheme="majorHAnsi"/>
                <w:u w:val="single"/>
              </w:rPr>
              <w:t>Adopted as recommended</w:t>
            </w:r>
            <w:r>
              <w:rPr>
                <w:rFonts w:asciiTheme="majorHAnsi" w:hAnsiTheme="majorHAnsi"/>
                <w:u w:val="single"/>
              </w:rPr>
              <w:t>.</w:t>
            </w:r>
          </w:p>
          <w:p w:rsidR="00B65E23" w:rsidRDefault="00B65E23" w:rsidP="00D758BB">
            <w:pPr>
              <w:rPr>
                <w:rFonts w:asciiTheme="majorHAnsi" w:hAnsiTheme="majorHAnsi"/>
                <w:u w:val="single"/>
              </w:rPr>
            </w:pPr>
          </w:p>
          <w:p w:rsidR="00B65E23" w:rsidRPr="000F142D" w:rsidRDefault="00B65E23" w:rsidP="00D758BB">
            <w:pPr>
              <w:rPr>
                <w:rFonts w:asciiTheme="majorHAnsi" w:hAnsiTheme="majorHAnsi"/>
                <w:sz w:val="20"/>
                <w:szCs w:val="20"/>
              </w:rPr>
            </w:pPr>
          </w:p>
        </w:tc>
        <w:tc>
          <w:tcPr>
            <w:tcW w:w="2250" w:type="dxa"/>
          </w:tcPr>
          <w:p w:rsidR="00B65E23" w:rsidRPr="005052E0" w:rsidRDefault="00B65E23" w:rsidP="00D758BB">
            <w:pPr>
              <w:rPr>
                <w:rFonts w:asciiTheme="majorHAnsi" w:hAnsiTheme="majorHAnsi"/>
              </w:rPr>
            </w:pPr>
            <w:r w:rsidRPr="005052E0">
              <w:rPr>
                <w:rFonts w:asciiTheme="majorHAnsi" w:hAnsiTheme="majorHAnsi"/>
              </w:rPr>
              <w:t>Data Bank/Testing</w:t>
            </w:r>
          </w:p>
        </w:tc>
      </w:tr>
      <w:tr w:rsidR="00B65E23" w:rsidRPr="005052E0" w:rsidTr="00D758BB">
        <w:tc>
          <w:tcPr>
            <w:tcW w:w="558" w:type="dxa"/>
          </w:tcPr>
          <w:p w:rsidR="00B65E23" w:rsidRPr="005052E0" w:rsidRDefault="00B65E23" w:rsidP="00D758BB">
            <w:pPr>
              <w:jc w:val="both"/>
              <w:rPr>
                <w:rFonts w:asciiTheme="majorHAnsi" w:hAnsiTheme="majorHAnsi" w:cs="Times New Roman"/>
              </w:rPr>
            </w:pPr>
            <w:r w:rsidRPr="005052E0">
              <w:rPr>
                <w:rFonts w:asciiTheme="majorHAnsi" w:hAnsiTheme="majorHAnsi" w:cs="Times New Roman"/>
              </w:rPr>
              <w:t>15</w:t>
            </w:r>
          </w:p>
        </w:tc>
        <w:tc>
          <w:tcPr>
            <w:tcW w:w="7110" w:type="dxa"/>
          </w:tcPr>
          <w:p w:rsidR="00B65E23" w:rsidRDefault="00B65E23" w:rsidP="00D758BB">
            <w:pPr>
              <w:jc w:val="both"/>
              <w:rPr>
                <w:rFonts w:asciiTheme="majorHAnsi" w:hAnsiTheme="majorHAnsi" w:cs="Times New Roman"/>
              </w:rPr>
            </w:pPr>
            <w:r w:rsidRPr="005052E0">
              <w:rPr>
                <w:rFonts w:asciiTheme="majorHAnsi" w:hAnsiTheme="majorHAnsi" w:cs="Times New Roman"/>
              </w:rPr>
              <w:t>Legislation specifying a time frame for analysis is not necessary; however, should the Work Group recommend a specific time frame for analysis as a result of time frames being provided for other stakeholders handling PERK evidence, it is recommended that any specific time frame for analysis include statutory language that the time frame is applicable “if sufficient personnel and resources are available.”</w:t>
            </w:r>
          </w:p>
          <w:p w:rsidR="00B65E23" w:rsidRDefault="00B65E23" w:rsidP="00D758BB">
            <w:pPr>
              <w:jc w:val="both"/>
              <w:rPr>
                <w:rFonts w:asciiTheme="majorHAnsi" w:hAnsiTheme="majorHAnsi" w:cs="Times New Roman"/>
              </w:rPr>
            </w:pPr>
          </w:p>
          <w:p w:rsidR="00B65E23" w:rsidRPr="00B73B13" w:rsidRDefault="00B65E23" w:rsidP="00D758BB">
            <w:pPr>
              <w:rPr>
                <w:rFonts w:asciiTheme="majorHAnsi" w:hAnsiTheme="majorHAnsi"/>
              </w:rPr>
            </w:pPr>
            <w:r>
              <w:rPr>
                <w:rFonts w:asciiTheme="majorHAnsi" w:hAnsiTheme="majorHAnsi"/>
                <w:u w:val="single"/>
              </w:rPr>
              <w:t>Discussed,</w:t>
            </w:r>
            <w:r w:rsidRPr="001C4B7D">
              <w:rPr>
                <w:rFonts w:asciiTheme="majorHAnsi" w:hAnsiTheme="majorHAnsi"/>
                <w:u w:val="single"/>
              </w:rPr>
              <w:t xml:space="preserve"> but no specific recommendation adopted</w:t>
            </w:r>
            <w:r>
              <w:rPr>
                <w:rFonts w:asciiTheme="majorHAnsi" w:hAnsiTheme="majorHAnsi"/>
                <w:u w:val="single"/>
              </w:rPr>
              <w:t>;</w:t>
            </w:r>
            <w:r>
              <w:rPr>
                <w:rFonts w:asciiTheme="majorHAnsi" w:hAnsiTheme="majorHAnsi"/>
              </w:rPr>
              <w:t xml:space="preserve"> however, turnaround time for analysis to be addressed in budget language, see Recommendation #9.</w:t>
            </w:r>
          </w:p>
          <w:p w:rsidR="00B65E23" w:rsidRDefault="00B65E23" w:rsidP="00D758BB">
            <w:pPr>
              <w:rPr>
                <w:rFonts w:asciiTheme="majorHAnsi" w:hAnsiTheme="majorHAnsi"/>
              </w:rPr>
            </w:pPr>
          </w:p>
          <w:p w:rsidR="00B65E23" w:rsidRPr="005052E0" w:rsidRDefault="00B65E23" w:rsidP="00D758BB">
            <w:pPr>
              <w:jc w:val="both"/>
              <w:rPr>
                <w:rFonts w:asciiTheme="majorHAnsi" w:hAnsiTheme="majorHAnsi" w:cs="Times New Roman"/>
              </w:rPr>
            </w:pPr>
          </w:p>
          <w:p w:rsidR="00B65E23" w:rsidRPr="000F142D" w:rsidRDefault="00B65E23" w:rsidP="00D758BB">
            <w:pPr>
              <w:rPr>
                <w:rFonts w:asciiTheme="majorHAnsi" w:hAnsiTheme="majorHAnsi"/>
                <w:sz w:val="20"/>
                <w:szCs w:val="20"/>
              </w:rPr>
            </w:pPr>
          </w:p>
        </w:tc>
        <w:tc>
          <w:tcPr>
            <w:tcW w:w="2250" w:type="dxa"/>
          </w:tcPr>
          <w:p w:rsidR="00B65E23" w:rsidRPr="005052E0" w:rsidRDefault="00B65E23" w:rsidP="00D758BB">
            <w:pPr>
              <w:rPr>
                <w:rFonts w:asciiTheme="majorHAnsi" w:hAnsiTheme="majorHAnsi"/>
              </w:rPr>
            </w:pPr>
            <w:r w:rsidRPr="005052E0">
              <w:rPr>
                <w:rFonts w:asciiTheme="majorHAnsi" w:hAnsiTheme="majorHAnsi"/>
              </w:rPr>
              <w:t>Data Bank/Testing</w:t>
            </w:r>
          </w:p>
        </w:tc>
      </w:tr>
      <w:tr w:rsidR="00B65E23" w:rsidRPr="005052E0" w:rsidTr="00D758BB">
        <w:tc>
          <w:tcPr>
            <w:tcW w:w="558" w:type="dxa"/>
          </w:tcPr>
          <w:p w:rsidR="00B65E23" w:rsidRPr="005052E0" w:rsidRDefault="00B65E23" w:rsidP="00D758BB">
            <w:pPr>
              <w:rPr>
                <w:rFonts w:asciiTheme="majorHAnsi" w:eastAsia="Times New Roman" w:hAnsiTheme="majorHAnsi" w:cs="Times New Roman"/>
              </w:rPr>
            </w:pPr>
            <w:r w:rsidRPr="005052E0">
              <w:rPr>
                <w:rFonts w:asciiTheme="majorHAnsi" w:eastAsia="Times New Roman" w:hAnsiTheme="majorHAnsi" w:cs="Times New Roman"/>
              </w:rPr>
              <w:t>16</w:t>
            </w:r>
          </w:p>
        </w:tc>
        <w:tc>
          <w:tcPr>
            <w:tcW w:w="7110" w:type="dxa"/>
          </w:tcPr>
          <w:p w:rsidR="00B65E23" w:rsidRDefault="00B65E23" w:rsidP="00D758BB">
            <w:pPr>
              <w:rPr>
                <w:rFonts w:asciiTheme="majorHAnsi" w:eastAsia="Times New Roman" w:hAnsiTheme="majorHAnsi" w:cs="Times New Roman"/>
              </w:rPr>
            </w:pPr>
            <w:r w:rsidRPr="005052E0">
              <w:rPr>
                <w:rFonts w:asciiTheme="majorHAnsi" w:eastAsia="Times New Roman" w:hAnsiTheme="majorHAnsi" w:cs="Times New Roman"/>
              </w:rPr>
              <w:t>Statutory language should provide that DFS would only upload developed DNA profiles and search them in the DNA Data Bank if the developed profiles met CODIS requirements.</w:t>
            </w:r>
          </w:p>
          <w:p w:rsidR="00B65E23" w:rsidRDefault="00B65E23" w:rsidP="00D758BB">
            <w:pPr>
              <w:rPr>
                <w:rFonts w:asciiTheme="majorHAnsi" w:eastAsia="Times New Roman" w:hAnsiTheme="majorHAnsi" w:cs="Times New Roman"/>
              </w:rPr>
            </w:pPr>
          </w:p>
          <w:p w:rsidR="00B65E23" w:rsidRDefault="00B65E23" w:rsidP="00D758BB">
            <w:pPr>
              <w:rPr>
                <w:rFonts w:asciiTheme="majorHAnsi" w:hAnsiTheme="majorHAnsi"/>
                <w:u w:val="single"/>
              </w:rPr>
            </w:pPr>
            <w:r w:rsidRPr="005052E0">
              <w:rPr>
                <w:rFonts w:asciiTheme="majorHAnsi" w:hAnsiTheme="majorHAnsi"/>
                <w:u w:val="single"/>
              </w:rPr>
              <w:t>Adopted as recommended</w:t>
            </w:r>
            <w:r>
              <w:rPr>
                <w:rFonts w:asciiTheme="majorHAnsi" w:hAnsiTheme="majorHAnsi"/>
                <w:u w:val="single"/>
              </w:rPr>
              <w:t xml:space="preserve">. </w:t>
            </w:r>
          </w:p>
          <w:p w:rsidR="00B65E23" w:rsidRDefault="00B65E23" w:rsidP="00D758BB">
            <w:pPr>
              <w:rPr>
                <w:rFonts w:asciiTheme="majorHAnsi" w:hAnsiTheme="majorHAnsi"/>
                <w:u w:val="single"/>
              </w:rPr>
            </w:pPr>
          </w:p>
          <w:p w:rsidR="00B65E23" w:rsidRPr="005052E0" w:rsidRDefault="00B65E23" w:rsidP="00D758BB">
            <w:pPr>
              <w:rPr>
                <w:rFonts w:asciiTheme="majorHAnsi" w:hAnsiTheme="majorHAnsi"/>
              </w:rPr>
            </w:pPr>
            <w:r>
              <w:rPr>
                <w:rFonts w:asciiTheme="majorHAnsi" w:hAnsiTheme="majorHAnsi"/>
              </w:rPr>
              <w:t>New statutory language should be part of separate PERK Act.</w:t>
            </w:r>
          </w:p>
          <w:p w:rsidR="00B65E23" w:rsidRPr="000F142D" w:rsidRDefault="00B65E23" w:rsidP="00D758BB">
            <w:pPr>
              <w:rPr>
                <w:rFonts w:asciiTheme="majorHAnsi" w:hAnsiTheme="majorHAnsi"/>
                <w:sz w:val="20"/>
                <w:szCs w:val="20"/>
              </w:rPr>
            </w:pPr>
          </w:p>
        </w:tc>
        <w:tc>
          <w:tcPr>
            <w:tcW w:w="2250" w:type="dxa"/>
          </w:tcPr>
          <w:p w:rsidR="00B65E23" w:rsidRPr="005052E0" w:rsidRDefault="00B65E23" w:rsidP="00D758BB">
            <w:pPr>
              <w:rPr>
                <w:rFonts w:asciiTheme="majorHAnsi" w:hAnsiTheme="majorHAnsi"/>
              </w:rPr>
            </w:pPr>
            <w:r w:rsidRPr="005052E0">
              <w:rPr>
                <w:rFonts w:asciiTheme="majorHAnsi" w:hAnsiTheme="majorHAnsi"/>
              </w:rPr>
              <w:t>Data Bank/Testing</w:t>
            </w:r>
          </w:p>
        </w:tc>
      </w:tr>
      <w:tr w:rsidR="00B65E23" w:rsidRPr="005052E0" w:rsidTr="00D758BB">
        <w:tc>
          <w:tcPr>
            <w:tcW w:w="558" w:type="dxa"/>
          </w:tcPr>
          <w:p w:rsidR="00B65E23" w:rsidRPr="005052E0" w:rsidRDefault="00B65E23" w:rsidP="00D758BB">
            <w:pPr>
              <w:contextualSpacing/>
              <w:jc w:val="both"/>
              <w:rPr>
                <w:rFonts w:asciiTheme="majorHAnsi" w:eastAsia="Calibri" w:hAnsiTheme="majorHAnsi" w:cs="Times New Roman"/>
              </w:rPr>
            </w:pPr>
            <w:r w:rsidRPr="005052E0">
              <w:rPr>
                <w:rFonts w:asciiTheme="majorHAnsi" w:eastAsia="Calibri" w:hAnsiTheme="majorHAnsi" w:cs="Times New Roman"/>
              </w:rPr>
              <w:t>17</w:t>
            </w:r>
          </w:p>
        </w:tc>
        <w:tc>
          <w:tcPr>
            <w:tcW w:w="7110" w:type="dxa"/>
          </w:tcPr>
          <w:p w:rsidR="00B65E23" w:rsidRDefault="00B65E23" w:rsidP="00D758BB">
            <w:pPr>
              <w:contextualSpacing/>
              <w:jc w:val="both"/>
              <w:rPr>
                <w:rFonts w:asciiTheme="majorHAnsi" w:eastAsia="Calibri" w:hAnsiTheme="majorHAnsi" w:cs="Times New Roman"/>
              </w:rPr>
            </w:pPr>
            <w:r w:rsidRPr="005052E0">
              <w:rPr>
                <w:rFonts w:asciiTheme="majorHAnsi" w:eastAsia="Calibri" w:hAnsiTheme="majorHAnsi" w:cs="Times New Roman"/>
              </w:rPr>
              <w:t xml:space="preserve">Legislation should specify that a sample developed from a PERK shall be expunged from the DNA Data Bank if the investigating law </w:t>
            </w:r>
            <w:r w:rsidRPr="005052E0">
              <w:rPr>
                <w:rFonts w:asciiTheme="majorHAnsi" w:eastAsia="Calibri" w:hAnsiTheme="majorHAnsi" w:cs="Times New Roman"/>
              </w:rPr>
              <w:lastRenderedPageBreak/>
              <w:t>enforcement agency or the Commonwealth’s Attorney provides written confirmation to DFS that the individual was not the putative perpetrator of a crime or if the evidence submitted was determined not to be related or connected to a criminal case.  Failure to expunge in good faith should not be the basis for challenging the validity of a Data Bank hit or database information.</w:t>
            </w:r>
          </w:p>
          <w:p w:rsidR="000F7A91" w:rsidRDefault="000F7A91" w:rsidP="00D758BB">
            <w:pPr>
              <w:rPr>
                <w:rFonts w:asciiTheme="majorHAnsi" w:hAnsiTheme="majorHAnsi"/>
                <w:u w:val="single"/>
              </w:rPr>
            </w:pPr>
          </w:p>
          <w:p w:rsidR="00B65E23" w:rsidRDefault="00B65E23" w:rsidP="00D758BB">
            <w:pPr>
              <w:rPr>
                <w:rFonts w:asciiTheme="majorHAnsi" w:hAnsiTheme="majorHAnsi"/>
                <w:u w:val="single"/>
              </w:rPr>
            </w:pPr>
            <w:r w:rsidRPr="005052E0">
              <w:rPr>
                <w:rFonts w:asciiTheme="majorHAnsi" w:hAnsiTheme="majorHAnsi"/>
                <w:u w:val="single"/>
              </w:rPr>
              <w:t>Adopted as recommended</w:t>
            </w:r>
            <w:r w:rsidR="000F7A91">
              <w:rPr>
                <w:rFonts w:asciiTheme="majorHAnsi" w:hAnsiTheme="majorHAnsi"/>
                <w:u w:val="single"/>
              </w:rPr>
              <w:t>.</w:t>
            </w:r>
          </w:p>
          <w:p w:rsidR="00B65E23" w:rsidRDefault="00B65E23" w:rsidP="00D758BB">
            <w:pPr>
              <w:rPr>
                <w:rFonts w:asciiTheme="majorHAnsi" w:hAnsiTheme="majorHAnsi"/>
                <w:u w:val="single"/>
              </w:rPr>
            </w:pPr>
          </w:p>
          <w:p w:rsidR="00B65E23" w:rsidRPr="005052E0" w:rsidRDefault="00B65E23" w:rsidP="00D758BB">
            <w:pPr>
              <w:rPr>
                <w:rFonts w:asciiTheme="majorHAnsi" w:hAnsiTheme="majorHAnsi"/>
              </w:rPr>
            </w:pPr>
            <w:r>
              <w:rPr>
                <w:rFonts w:asciiTheme="majorHAnsi" w:hAnsiTheme="majorHAnsi"/>
              </w:rPr>
              <w:t>New statutory language should be part of separate PERK Act.</w:t>
            </w:r>
          </w:p>
          <w:p w:rsidR="00B65E23" w:rsidRDefault="00B65E23" w:rsidP="00D758BB">
            <w:pPr>
              <w:contextualSpacing/>
              <w:jc w:val="both"/>
              <w:rPr>
                <w:rFonts w:asciiTheme="majorHAnsi" w:hAnsiTheme="majorHAnsi"/>
                <w:sz w:val="20"/>
                <w:szCs w:val="20"/>
              </w:rPr>
            </w:pPr>
          </w:p>
          <w:p w:rsidR="00B65E23" w:rsidRPr="000F142D" w:rsidRDefault="00B65E23" w:rsidP="00D758BB">
            <w:pPr>
              <w:contextualSpacing/>
              <w:jc w:val="both"/>
              <w:rPr>
                <w:rFonts w:asciiTheme="majorHAnsi" w:hAnsiTheme="majorHAnsi"/>
                <w:sz w:val="20"/>
                <w:szCs w:val="20"/>
              </w:rPr>
            </w:pPr>
          </w:p>
        </w:tc>
        <w:tc>
          <w:tcPr>
            <w:tcW w:w="2250" w:type="dxa"/>
          </w:tcPr>
          <w:p w:rsidR="00B65E23" w:rsidRPr="005052E0" w:rsidRDefault="00B65E23" w:rsidP="00D758BB">
            <w:pPr>
              <w:rPr>
                <w:rFonts w:asciiTheme="majorHAnsi" w:hAnsiTheme="majorHAnsi"/>
              </w:rPr>
            </w:pPr>
            <w:r w:rsidRPr="005052E0">
              <w:rPr>
                <w:rFonts w:asciiTheme="majorHAnsi" w:hAnsiTheme="majorHAnsi"/>
              </w:rPr>
              <w:lastRenderedPageBreak/>
              <w:t>Data Bank/Testing</w:t>
            </w:r>
          </w:p>
        </w:tc>
      </w:tr>
      <w:tr w:rsidR="00B65E23" w:rsidRPr="005052E0" w:rsidTr="00D758BB">
        <w:tc>
          <w:tcPr>
            <w:tcW w:w="558" w:type="dxa"/>
          </w:tcPr>
          <w:p w:rsidR="00B65E23" w:rsidRPr="005052E0" w:rsidRDefault="00B65E23" w:rsidP="00D758BB">
            <w:pPr>
              <w:rPr>
                <w:rFonts w:asciiTheme="majorHAnsi" w:hAnsiTheme="majorHAnsi"/>
              </w:rPr>
            </w:pPr>
            <w:r w:rsidRPr="005052E0">
              <w:rPr>
                <w:rFonts w:asciiTheme="majorHAnsi" w:hAnsiTheme="majorHAnsi"/>
              </w:rPr>
              <w:lastRenderedPageBreak/>
              <w:t>18</w:t>
            </w:r>
          </w:p>
        </w:tc>
        <w:tc>
          <w:tcPr>
            <w:tcW w:w="7110" w:type="dxa"/>
          </w:tcPr>
          <w:p w:rsidR="00B65E23" w:rsidRPr="005052E0" w:rsidRDefault="00B65E23" w:rsidP="00D758BB">
            <w:pPr>
              <w:rPr>
                <w:rFonts w:asciiTheme="majorHAnsi" w:hAnsiTheme="majorHAnsi"/>
              </w:rPr>
            </w:pPr>
            <w:r w:rsidRPr="005052E0">
              <w:rPr>
                <w:rFonts w:asciiTheme="majorHAnsi" w:hAnsiTheme="majorHAnsi"/>
              </w:rPr>
              <w:t>Modify DCJS law enforcement sexual assault model policy and the Sexual Assault Response Team (SART) Model Protocol as needed to reflect these recommendations adopted by the PERK Work Group.</w:t>
            </w:r>
          </w:p>
          <w:p w:rsidR="00B65E23" w:rsidRDefault="00B65E23" w:rsidP="00D758BB">
            <w:pPr>
              <w:rPr>
                <w:rFonts w:asciiTheme="majorHAnsi" w:hAnsiTheme="majorHAnsi"/>
                <w:sz w:val="20"/>
                <w:szCs w:val="20"/>
              </w:rPr>
            </w:pPr>
          </w:p>
          <w:p w:rsidR="00B65E23" w:rsidRDefault="00B65E23" w:rsidP="00D758BB">
            <w:pPr>
              <w:rPr>
                <w:rFonts w:asciiTheme="majorHAnsi" w:hAnsiTheme="majorHAnsi"/>
                <w:u w:val="single"/>
              </w:rPr>
            </w:pPr>
            <w:r w:rsidRPr="005052E0">
              <w:rPr>
                <w:rFonts w:asciiTheme="majorHAnsi" w:hAnsiTheme="majorHAnsi"/>
                <w:u w:val="single"/>
              </w:rPr>
              <w:t>Adopted as recommended</w:t>
            </w:r>
            <w:r>
              <w:rPr>
                <w:rFonts w:asciiTheme="majorHAnsi" w:hAnsiTheme="majorHAnsi"/>
                <w:u w:val="single"/>
              </w:rPr>
              <w:t xml:space="preserve">.  </w:t>
            </w:r>
          </w:p>
          <w:p w:rsidR="00B65E23" w:rsidRPr="000F142D" w:rsidRDefault="00B65E23" w:rsidP="00D758BB">
            <w:pPr>
              <w:rPr>
                <w:rFonts w:asciiTheme="majorHAnsi" w:hAnsiTheme="majorHAnsi"/>
                <w:sz w:val="20"/>
                <w:szCs w:val="20"/>
              </w:rPr>
            </w:pPr>
          </w:p>
        </w:tc>
        <w:tc>
          <w:tcPr>
            <w:tcW w:w="2250" w:type="dxa"/>
          </w:tcPr>
          <w:p w:rsidR="00B65E23" w:rsidRPr="005052E0" w:rsidRDefault="00B65E23" w:rsidP="00D758BB">
            <w:pPr>
              <w:rPr>
                <w:rFonts w:asciiTheme="majorHAnsi" w:hAnsiTheme="majorHAnsi"/>
              </w:rPr>
            </w:pPr>
            <w:r w:rsidRPr="005052E0">
              <w:rPr>
                <w:rFonts w:asciiTheme="majorHAnsi" w:hAnsiTheme="majorHAnsi"/>
              </w:rPr>
              <w:t>Victim</w:t>
            </w:r>
          </w:p>
        </w:tc>
      </w:tr>
      <w:tr w:rsidR="00B65E23" w:rsidRPr="005052E0" w:rsidTr="00D758BB">
        <w:tc>
          <w:tcPr>
            <w:tcW w:w="558" w:type="dxa"/>
          </w:tcPr>
          <w:p w:rsidR="00B65E23" w:rsidRPr="005052E0" w:rsidRDefault="00B65E23" w:rsidP="00D758BB">
            <w:pPr>
              <w:jc w:val="both"/>
              <w:rPr>
                <w:rFonts w:asciiTheme="majorHAnsi" w:hAnsiTheme="majorHAnsi" w:cs="Times New Roman"/>
              </w:rPr>
            </w:pPr>
            <w:r w:rsidRPr="005052E0">
              <w:rPr>
                <w:rFonts w:asciiTheme="majorHAnsi" w:hAnsiTheme="majorHAnsi"/>
              </w:rPr>
              <w:br w:type="page"/>
            </w:r>
            <w:r w:rsidRPr="005052E0">
              <w:rPr>
                <w:rFonts w:asciiTheme="majorHAnsi" w:hAnsiTheme="majorHAnsi" w:cs="Times New Roman"/>
              </w:rPr>
              <w:t>19</w:t>
            </w:r>
          </w:p>
        </w:tc>
        <w:tc>
          <w:tcPr>
            <w:tcW w:w="7110" w:type="dxa"/>
          </w:tcPr>
          <w:p w:rsidR="00B65E23" w:rsidRDefault="00B65E23" w:rsidP="00D758BB">
            <w:pPr>
              <w:jc w:val="both"/>
              <w:rPr>
                <w:rFonts w:asciiTheme="majorHAnsi" w:hAnsiTheme="majorHAnsi" w:cs="Times New Roman"/>
              </w:rPr>
            </w:pPr>
            <w:r w:rsidRPr="005052E0">
              <w:rPr>
                <w:rFonts w:asciiTheme="majorHAnsi" w:hAnsiTheme="majorHAnsi" w:cs="Times New Roman"/>
              </w:rPr>
              <w:t>Code § 15.2-1627.4 (Coordination of multidisciplinary response to sexual assault) should be amended to reflect the recommendations adopted by the PERK Work Group.</w:t>
            </w:r>
          </w:p>
          <w:p w:rsidR="00B65E23" w:rsidRDefault="00B65E23" w:rsidP="00D758BB">
            <w:pPr>
              <w:jc w:val="both"/>
              <w:rPr>
                <w:rFonts w:asciiTheme="majorHAnsi" w:hAnsiTheme="majorHAnsi" w:cs="Times New Roman"/>
              </w:rPr>
            </w:pPr>
          </w:p>
          <w:p w:rsidR="00B65E23" w:rsidRPr="005052E0" w:rsidRDefault="00B65E23" w:rsidP="00D758BB">
            <w:pPr>
              <w:jc w:val="both"/>
              <w:rPr>
                <w:rFonts w:asciiTheme="majorHAnsi" w:hAnsiTheme="majorHAnsi" w:cs="Times New Roman"/>
              </w:rPr>
            </w:pPr>
            <w:r w:rsidRPr="005052E0">
              <w:rPr>
                <w:rFonts w:asciiTheme="majorHAnsi" w:hAnsiTheme="majorHAnsi"/>
                <w:u w:val="single"/>
              </w:rPr>
              <w:t>Adopted as recommended</w:t>
            </w:r>
            <w:r>
              <w:rPr>
                <w:rFonts w:asciiTheme="majorHAnsi" w:hAnsiTheme="majorHAnsi"/>
                <w:u w:val="single"/>
              </w:rPr>
              <w:t>.</w:t>
            </w:r>
            <w:r>
              <w:rPr>
                <w:rFonts w:asciiTheme="majorHAnsi" w:hAnsiTheme="majorHAnsi"/>
              </w:rPr>
              <w:t xml:space="preserve">  </w:t>
            </w:r>
          </w:p>
          <w:p w:rsidR="00B65E23" w:rsidRPr="000F142D" w:rsidRDefault="00B65E23" w:rsidP="00D758BB">
            <w:pPr>
              <w:jc w:val="both"/>
              <w:rPr>
                <w:rFonts w:asciiTheme="majorHAnsi" w:hAnsiTheme="majorHAnsi" w:cs="Times New Roman"/>
                <w:sz w:val="20"/>
                <w:szCs w:val="20"/>
              </w:rPr>
            </w:pPr>
          </w:p>
        </w:tc>
        <w:tc>
          <w:tcPr>
            <w:tcW w:w="2250" w:type="dxa"/>
          </w:tcPr>
          <w:p w:rsidR="00B65E23" w:rsidRPr="005052E0" w:rsidRDefault="00B65E23" w:rsidP="00D758BB">
            <w:pPr>
              <w:rPr>
                <w:rFonts w:asciiTheme="majorHAnsi" w:hAnsiTheme="majorHAnsi"/>
              </w:rPr>
            </w:pPr>
            <w:r w:rsidRPr="005052E0">
              <w:rPr>
                <w:rFonts w:asciiTheme="majorHAnsi" w:hAnsiTheme="majorHAnsi"/>
              </w:rPr>
              <w:t>Victim</w:t>
            </w:r>
          </w:p>
        </w:tc>
      </w:tr>
      <w:tr w:rsidR="00B65E23" w:rsidRPr="005052E0" w:rsidTr="00D758BB">
        <w:tc>
          <w:tcPr>
            <w:tcW w:w="558" w:type="dxa"/>
          </w:tcPr>
          <w:p w:rsidR="00B65E23" w:rsidRPr="005052E0" w:rsidRDefault="00B65E23" w:rsidP="00D758BB">
            <w:pPr>
              <w:jc w:val="both"/>
              <w:rPr>
                <w:rFonts w:asciiTheme="majorHAnsi" w:hAnsiTheme="majorHAnsi" w:cs="Times New Roman"/>
              </w:rPr>
            </w:pPr>
            <w:r w:rsidRPr="005052E0">
              <w:rPr>
                <w:rFonts w:asciiTheme="majorHAnsi" w:hAnsiTheme="majorHAnsi" w:cs="Times New Roman"/>
              </w:rPr>
              <w:t>20</w:t>
            </w:r>
          </w:p>
        </w:tc>
        <w:tc>
          <w:tcPr>
            <w:tcW w:w="7110" w:type="dxa"/>
          </w:tcPr>
          <w:p w:rsidR="00B65E23" w:rsidRPr="005052E0" w:rsidRDefault="00B65E23" w:rsidP="00746134">
            <w:pPr>
              <w:pStyle w:val="ListParagraph"/>
              <w:numPr>
                <w:ilvl w:val="0"/>
                <w:numId w:val="25"/>
              </w:numPr>
              <w:spacing w:after="0" w:line="240" w:lineRule="auto"/>
              <w:ind w:left="342"/>
              <w:rPr>
                <w:rFonts w:asciiTheme="majorHAnsi" w:hAnsiTheme="majorHAnsi"/>
                <w:sz w:val="24"/>
                <w:szCs w:val="24"/>
              </w:rPr>
            </w:pPr>
            <w:r w:rsidRPr="005052E0">
              <w:rPr>
                <w:rFonts w:asciiTheme="majorHAnsi" w:hAnsiTheme="majorHAnsi"/>
                <w:sz w:val="24"/>
                <w:szCs w:val="24"/>
              </w:rPr>
              <w:t xml:space="preserve">Creation of a “Preservation of Biological Evidence” Task Force, a multi-disciplinary group that would meet annually to review trends, technology advances, and backlog issues that may arise and report any recommendations. </w:t>
            </w:r>
          </w:p>
          <w:p w:rsidR="00B65E23" w:rsidRPr="000F142D" w:rsidRDefault="00B65E23" w:rsidP="00D758BB">
            <w:pPr>
              <w:pStyle w:val="ListParagraph"/>
              <w:ind w:left="342"/>
              <w:rPr>
                <w:rFonts w:asciiTheme="majorHAnsi" w:hAnsiTheme="majorHAnsi"/>
                <w:sz w:val="20"/>
                <w:szCs w:val="20"/>
              </w:rPr>
            </w:pPr>
          </w:p>
          <w:p w:rsidR="00B65E23" w:rsidRPr="005052E0" w:rsidRDefault="00B65E23" w:rsidP="00746134">
            <w:pPr>
              <w:pStyle w:val="ListParagraph"/>
              <w:numPr>
                <w:ilvl w:val="0"/>
                <w:numId w:val="25"/>
              </w:numPr>
              <w:spacing w:after="0" w:line="240" w:lineRule="auto"/>
              <w:ind w:left="342"/>
              <w:rPr>
                <w:rFonts w:asciiTheme="majorHAnsi" w:hAnsiTheme="majorHAnsi"/>
                <w:sz w:val="24"/>
                <w:szCs w:val="24"/>
              </w:rPr>
            </w:pPr>
            <w:r w:rsidRPr="005052E0">
              <w:rPr>
                <w:rFonts w:asciiTheme="majorHAnsi" w:hAnsiTheme="majorHAnsi" w:cs="Times New Roman"/>
                <w:sz w:val="24"/>
                <w:szCs w:val="24"/>
              </w:rPr>
              <w:t xml:space="preserve">A study group should be convened to consider the reimbursement for forensic exams and forensic science services (including testimony).  </w:t>
            </w:r>
          </w:p>
          <w:p w:rsidR="00B65E23" w:rsidRPr="000F142D" w:rsidRDefault="00B65E23" w:rsidP="00D758BB">
            <w:pPr>
              <w:pStyle w:val="ListParagraph"/>
              <w:ind w:left="342"/>
              <w:rPr>
                <w:rFonts w:asciiTheme="majorHAnsi" w:hAnsiTheme="majorHAnsi" w:cs="Times New Roman"/>
                <w:sz w:val="20"/>
                <w:szCs w:val="20"/>
              </w:rPr>
            </w:pPr>
          </w:p>
          <w:p w:rsidR="00B65E23" w:rsidRPr="005052E0" w:rsidRDefault="00B65E23" w:rsidP="00746134">
            <w:pPr>
              <w:pStyle w:val="ListParagraph"/>
              <w:numPr>
                <w:ilvl w:val="0"/>
                <w:numId w:val="25"/>
              </w:numPr>
              <w:spacing w:after="0" w:line="240" w:lineRule="auto"/>
              <w:ind w:left="342"/>
              <w:rPr>
                <w:rFonts w:asciiTheme="majorHAnsi" w:hAnsiTheme="majorHAnsi"/>
                <w:sz w:val="24"/>
                <w:szCs w:val="24"/>
              </w:rPr>
            </w:pPr>
            <w:r w:rsidRPr="005052E0">
              <w:rPr>
                <w:rFonts w:asciiTheme="majorHAnsi" w:hAnsiTheme="majorHAnsi" w:cs="Times New Roman"/>
                <w:sz w:val="24"/>
                <w:szCs w:val="24"/>
              </w:rPr>
              <w:t>A study group should review and make recommendations on the standard of care for victims of sexual assault to provide for consistent care and notification to victims and consider supportive oversight for forensic nursing programs to standardize services provided to victims on a statewide level.</w:t>
            </w:r>
          </w:p>
          <w:p w:rsidR="00B65E23" w:rsidRPr="000F142D" w:rsidRDefault="00B65E23" w:rsidP="00D758BB">
            <w:pPr>
              <w:pStyle w:val="ListParagraph"/>
              <w:ind w:left="342"/>
              <w:rPr>
                <w:rFonts w:asciiTheme="majorHAnsi" w:hAnsiTheme="majorHAnsi" w:cs="Times New Roman"/>
                <w:sz w:val="20"/>
                <w:szCs w:val="20"/>
              </w:rPr>
            </w:pPr>
          </w:p>
          <w:p w:rsidR="00B65E23" w:rsidRPr="005052E0" w:rsidRDefault="00B65E23" w:rsidP="00746134">
            <w:pPr>
              <w:pStyle w:val="ListParagraph"/>
              <w:numPr>
                <w:ilvl w:val="0"/>
                <w:numId w:val="25"/>
              </w:numPr>
              <w:spacing w:after="0" w:line="240" w:lineRule="auto"/>
              <w:ind w:left="342"/>
              <w:rPr>
                <w:rFonts w:asciiTheme="majorHAnsi" w:hAnsiTheme="majorHAnsi"/>
                <w:sz w:val="24"/>
                <w:szCs w:val="24"/>
              </w:rPr>
            </w:pPr>
            <w:r w:rsidRPr="005052E0">
              <w:rPr>
                <w:rFonts w:asciiTheme="majorHAnsi" w:hAnsiTheme="majorHAnsi" w:cs="Times New Roman"/>
                <w:sz w:val="24"/>
                <w:szCs w:val="24"/>
              </w:rPr>
              <w:t>A study group should be convened to strengthen and clarify guidance and to establish criteria for when a PERK should be collected from a sexual assault victim who is a minor.</w:t>
            </w:r>
          </w:p>
          <w:p w:rsidR="00B65E23" w:rsidRPr="000F142D" w:rsidRDefault="00B65E23" w:rsidP="00D758BB">
            <w:pPr>
              <w:pStyle w:val="ListParagraph"/>
              <w:ind w:left="342"/>
              <w:rPr>
                <w:rFonts w:asciiTheme="majorHAnsi" w:hAnsiTheme="majorHAnsi" w:cs="Times New Roman"/>
                <w:sz w:val="20"/>
                <w:szCs w:val="20"/>
              </w:rPr>
            </w:pPr>
          </w:p>
          <w:p w:rsidR="00B65E23" w:rsidRDefault="00B65E23" w:rsidP="00746134">
            <w:pPr>
              <w:pStyle w:val="ListParagraph"/>
              <w:numPr>
                <w:ilvl w:val="0"/>
                <w:numId w:val="25"/>
              </w:numPr>
              <w:spacing w:after="0" w:line="240" w:lineRule="auto"/>
              <w:ind w:left="342"/>
              <w:rPr>
                <w:rFonts w:asciiTheme="majorHAnsi" w:hAnsiTheme="majorHAnsi" w:cs="Times New Roman"/>
                <w:sz w:val="24"/>
                <w:szCs w:val="24"/>
              </w:rPr>
            </w:pPr>
            <w:r w:rsidRPr="005052E0">
              <w:rPr>
                <w:rFonts w:asciiTheme="majorHAnsi" w:hAnsiTheme="majorHAnsi" w:cs="Times New Roman"/>
                <w:sz w:val="24"/>
                <w:szCs w:val="24"/>
              </w:rPr>
              <w:t>A study group should be convened to review the resources available for forensic nursing programs and to consider the appropriate allocation of resources to provide for the needs of sexual assault victims across the state, including grant opportunities for forensic nursing programs and training needs.</w:t>
            </w:r>
          </w:p>
          <w:p w:rsidR="00385FA7" w:rsidRDefault="00385FA7" w:rsidP="00D758BB">
            <w:pPr>
              <w:rPr>
                <w:rFonts w:asciiTheme="majorHAnsi" w:hAnsiTheme="majorHAnsi"/>
                <w:u w:val="single"/>
              </w:rPr>
            </w:pPr>
          </w:p>
          <w:p w:rsidR="00B65E23" w:rsidRDefault="00B65E23" w:rsidP="00D758BB">
            <w:pPr>
              <w:rPr>
                <w:rFonts w:asciiTheme="majorHAnsi" w:hAnsiTheme="majorHAnsi"/>
              </w:rPr>
            </w:pPr>
            <w:r>
              <w:rPr>
                <w:rFonts w:asciiTheme="majorHAnsi" w:hAnsiTheme="majorHAnsi"/>
                <w:u w:val="single"/>
              </w:rPr>
              <w:t>Adopted as follows:</w:t>
            </w:r>
            <w:r>
              <w:rPr>
                <w:rFonts w:asciiTheme="majorHAnsi" w:hAnsiTheme="majorHAnsi"/>
              </w:rPr>
              <w:t xml:space="preserve">  DCJS to convene a work group of stakeholders to study recommended issues (#20a – #20e).</w:t>
            </w:r>
          </w:p>
          <w:p w:rsidR="00B65E23" w:rsidRPr="000F142D" w:rsidRDefault="00B65E23" w:rsidP="00D758BB">
            <w:pPr>
              <w:rPr>
                <w:rFonts w:asciiTheme="majorHAnsi" w:hAnsiTheme="majorHAnsi" w:cs="Times New Roman"/>
                <w:sz w:val="20"/>
                <w:szCs w:val="20"/>
              </w:rPr>
            </w:pPr>
          </w:p>
        </w:tc>
        <w:tc>
          <w:tcPr>
            <w:tcW w:w="2250" w:type="dxa"/>
          </w:tcPr>
          <w:p w:rsidR="00B65E23" w:rsidRPr="005052E0" w:rsidRDefault="00B65E23" w:rsidP="00D758BB">
            <w:pPr>
              <w:rPr>
                <w:rFonts w:asciiTheme="majorHAnsi" w:hAnsiTheme="majorHAnsi"/>
              </w:rPr>
            </w:pPr>
            <w:r w:rsidRPr="005052E0">
              <w:rPr>
                <w:rFonts w:asciiTheme="majorHAnsi" w:hAnsiTheme="majorHAnsi"/>
              </w:rPr>
              <w:lastRenderedPageBreak/>
              <w:t>Law Enforcement</w:t>
            </w:r>
          </w:p>
          <w:p w:rsidR="00B65E23" w:rsidRPr="005052E0" w:rsidRDefault="00B65E23" w:rsidP="00D758BB">
            <w:pPr>
              <w:rPr>
                <w:rFonts w:asciiTheme="majorHAnsi" w:hAnsiTheme="majorHAnsi"/>
              </w:rPr>
            </w:pPr>
          </w:p>
          <w:p w:rsidR="00B65E23" w:rsidRPr="005052E0" w:rsidRDefault="00B65E23" w:rsidP="00D758BB">
            <w:pPr>
              <w:rPr>
                <w:rFonts w:asciiTheme="majorHAnsi" w:hAnsiTheme="majorHAnsi"/>
              </w:rPr>
            </w:pPr>
          </w:p>
          <w:p w:rsidR="00B65E23" w:rsidRPr="005052E0" w:rsidRDefault="00B65E23" w:rsidP="00D758BB">
            <w:pPr>
              <w:rPr>
                <w:rFonts w:asciiTheme="majorHAnsi" w:hAnsiTheme="majorHAnsi"/>
              </w:rPr>
            </w:pPr>
          </w:p>
          <w:p w:rsidR="00B65E23" w:rsidRPr="000F142D" w:rsidRDefault="00B65E23" w:rsidP="00D758BB">
            <w:pPr>
              <w:rPr>
                <w:rFonts w:asciiTheme="majorHAnsi" w:hAnsiTheme="majorHAnsi"/>
                <w:sz w:val="20"/>
                <w:szCs w:val="20"/>
              </w:rPr>
            </w:pPr>
          </w:p>
          <w:p w:rsidR="00B65E23" w:rsidRPr="005052E0" w:rsidRDefault="00B65E23" w:rsidP="00D758BB">
            <w:pPr>
              <w:rPr>
                <w:rFonts w:asciiTheme="majorHAnsi" w:hAnsiTheme="majorHAnsi"/>
              </w:rPr>
            </w:pPr>
            <w:r w:rsidRPr="005052E0">
              <w:rPr>
                <w:rFonts w:asciiTheme="majorHAnsi" w:hAnsiTheme="majorHAnsi"/>
              </w:rPr>
              <w:t>Hospital/Collection</w:t>
            </w:r>
          </w:p>
          <w:p w:rsidR="00B65E23" w:rsidRPr="005052E0" w:rsidRDefault="00B65E23" w:rsidP="00D758BB">
            <w:pPr>
              <w:rPr>
                <w:rFonts w:asciiTheme="majorHAnsi" w:hAnsiTheme="majorHAnsi"/>
              </w:rPr>
            </w:pPr>
          </w:p>
          <w:p w:rsidR="00B65E23" w:rsidRPr="005052E0" w:rsidRDefault="00B65E23" w:rsidP="00D758BB">
            <w:pPr>
              <w:rPr>
                <w:rFonts w:asciiTheme="majorHAnsi" w:hAnsiTheme="majorHAnsi"/>
              </w:rPr>
            </w:pPr>
          </w:p>
          <w:p w:rsidR="00B65E23" w:rsidRPr="00385FA7" w:rsidRDefault="00B65E23" w:rsidP="00D758BB">
            <w:pPr>
              <w:rPr>
                <w:rFonts w:asciiTheme="majorHAnsi" w:hAnsiTheme="majorHAnsi"/>
              </w:rPr>
            </w:pPr>
          </w:p>
          <w:p w:rsidR="00B65E23" w:rsidRPr="005052E0" w:rsidRDefault="00B65E23" w:rsidP="00D758BB">
            <w:pPr>
              <w:rPr>
                <w:rFonts w:asciiTheme="majorHAnsi" w:hAnsiTheme="majorHAnsi"/>
              </w:rPr>
            </w:pPr>
            <w:r w:rsidRPr="005052E0">
              <w:rPr>
                <w:rFonts w:asciiTheme="majorHAnsi" w:hAnsiTheme="majorHAnsi"/>
              </w:rPr>
              <w:t>Hospital/Collection</w:t>
            </w:r>
          </w:p>
          <w:p w:rsidR="00B65E23" w:rsidRPr="005052E0" w:rsidRDefault="00B65E23" w:rsidP="00D758BB">
            <w:pPr>
              <w:rPr>
                <w:rFonts w:asciiTheme="majorHAnsi" w:hAnsiTheme="majorHAnsi"/>
              </w:rPr>
            </w:pPr>
          </w:p>
          <w:p w:rsidR="00B65E23" w:rsidRPr="005052E0" w:rsidRDefault="00B65E23" w:rsidP="00D758BB">
            <w:pPr>
              <w:rPr>
                <w:rFonts w:asciiTheme="majorHAnsi" w:hAnsiTheme="majorHAnsi"/>
              </w:rPr>
            </w:pPr>
          </w:p>
          <w:p w:rsidR="00B65E23" w:rsidRPr="005052E0" w:rsidRDefault="00B65E23" w:rsidP="00D758BB">
            <w:pPr>
              <w:rPr>
                <w:rFonts w:asciiTheme="majorHAnsi" w:hAnsiTheme="majorHAnsi"/>
              </w:rPr>
            </w:pPr>
          </w:p>
          <w:p w:rsidR="00B65E23" w:rsidRPr="005052E0" w:rsidRDefault="00B65E23" w:rsidP="00D758BB">
            <w:pPr>
              <w:rPr>
                <w:rFonts w:asciiTheme="majorHAnsi" w:hAnsiTheme="majorHAnsi"/>
              </w:rPr>
            </w:pPr>
          </w:p>
          <w:p w:rsidR="00B65E23" w:rsidRPr="00385FA7" w:rsidRDefault="00B65E23" w:rsidP="00D758BB">
            <w:pPr>
              <w:rPr>
                <w:rFonts w:asciiTheme="majorHAnsi" w:hAnsiTheme="majorHAnsi"/>
              </w:rPr>
            </w:pPr>
          </w:p>
          <w:p w:rsidR="00B65E23" w:rsidRPr="005052E0" w:rsidRDefault="00B65E23" w:rsidP="00D758BB">
            <w:pPr>
              <w:rPr>
                <w:rFonts w:asciiTheme="majorHAnsi" w:hAnsiTheme="majorHAnsi"/>
              </w:rPr>
            </w:pPr>
            <w:r w:rsidRPr="005052E0">
              <w:rPr>
                <w:rFonts w:asciiTheme="majorHAnsi" w:hAnsiTheme="majorHAnsi"/>
              </w:rPr>
              <w:t>Hospital/Collection</w:t>
            </w:r>
          </w:p>
          <w:p w:rsidR="00B65E23" w:rsidRPr="005052E0" w:rsidRDefault="00B65E23" w:rsidP="00D758BB">
            <w:pPr>
              <w:rPr>
                <w:rFonts w:asciiTheme="majorHAnsi" w:hAnsiTheme="majorHAnsi"/>
              </w:rPr>
            </w:pPr>
          </w:p>
          <w:p w:rsidR="00B65E23" w:rsidRPr="005052E0" w:rsidRDefault="00B65E23" w:rsidP="00D758BB">
            <w:pPr>
              <w:rPr>
                <w:rFonts w:asciiTheme="majorHAnsi" w:hAnsiTheme="majorHAnsi"/>
              </w:rPr>
            </w:pPr>
          </w:p>
          <w:p w:rsidR="00B65E23" w:rsidRPr="00385FA7" w:rsidRDefault="00B65E23" w:rsidP="00D758BB">
            <w:pPr>
              <w:rPr>
                <w:rFonts w:asciiTheme="majorHAnsi" w:hAnsiTheme="majorHAnsi"/>
                <w:sz w:val="22"/>
                <w:szCs w:val="22"/>
              </w:rPr>
            </w:pPr>
          </w:p>
          <w:p w:rsidR="00B65E23" w:rsidRPr="005052E0" w:rsidRDefault="00B65E23" w:rsidP="00D758BB">
            <w:pPr>
              <w:rPr>
                <w:rFonts w:asciiTheme="majorHAnsi" w:hAnsiTheme="majorHAnsi"/>
              </w:rPr>
            </w:pPr>
            <w:r w:rsidRPr="005052E0">
              <w:rPr>
                <w:rFonts w:asciiTheme="majorHAnsi" w:hAnsiTheme="majorHAnsi"/>
              </w:rPr>
              <w:t>Hospital/Collection</w:t>
            </w:r>
          </w:p>
        </w:tc>
      </w:tr>
    </w:tbl>
    <w:p w:rsidR="00746134" w:rsidRDefault="00746134" w:rsidP="00746134">
      <w:pPr>
        <w:rPr>
          <w:rFonts w:asciiTheme="majorHAnsi" w:hAnsiTheme="majorHAnsi"/>
        </w:rPr>
      </w:pPr>
    </w:p>
    <w:p w:rsidR="00640DBA" w:rsidRDefault="00F43FBB" w:rsidP="00F43FBB">
      <w:pPr>
        <w:rPr>
          <w:rFonts w:asciiTheme="majorHAnsi" w:hAnsiTheme="majorHAnsi"/>
        </w:rPr>
      </w:pPr>
      <w:r>
        <w:rPr>
          <w:rFonts w:asciiTheme="majorHAnsi" w:hAnsiTheme="majorHAnsi"/>
        </w:rPr>
        <w:t xml:space="preserve">During the discussion of the Subcommittee’s </w:t>
      </w:r>
      <w:r w:rsidR="00385FA7">
        <w:rPr>
          <w:rFonts w:asciiTheme="majorHAnsi" w:hAnsiTheme="majorHAnsi"/>
        </w:rPr>
        <w:t xml:space="preserve">proposed </w:t>
      </w:r>
      <w:r>
        <w:rPr>
          <w:rFonts w:asciiTheme="majorHAnsi" w:hAnsiTheme="majorHAnsi"/>
        </w:rPr>
        <w:t xml:space="preserve">recommendations, it was suggested that a </w:t>
      </w:r>
      <w:r w:rsidRPr="00746134">
        <w:rPr>
          <w:rFonts w:asciiTheme="majorHAnsi" w:hAnsiTheme="majorHAnsi"/>
        </w:rPr>
        <w:t>victim advocate and a forensic nurse be added as members to the Forensic Science Board</w:t>
      </w:r>
      <w:r w:rsidR="00640DBA">
        <w:rPr>
          <w:rFonts w:asciiTheme="majorHAnsi" w:hAnsiTheme="majorHAnsi"/>
        </w:rPr>
        <w:t xml:space="preserve"> in order to provide these additional perspectives to the Board</w:t>
      </w:r>
      <w:r w:rsidRPr="00746134">
        <w:rPr>
          <w:rFonts w:asciiTheme="majorHAnsi" w:hAnsiTheme="majorHAnsi"/>
        </w:rPr>
        <w:t>.</w:t>
      </w:r>
      <w:r>
        <w:rPr>
          <w:rFonts w:asciiTheme="majorHAnsi" w:hAnsiTheme="majorHAnsi"/>
        </w:rPr>
        <w:t xml:space="preserve"> </w:t>
      </w:r>
      <w:r w:rsidR="00640DBA">
        <w:rPr>
          <w:rFonts w:asciiTheme="majorHAnsi" w:hAnsiTheme="majorHAnsi"/>
        </w:rPr>
        <w:t xml:space="preserve"> The Forensic Science Board is the Department of Forensic Science’s policy board.</w:t>
      </w:r>
    </w:p>
    <w:p w:rsidR="00640DBA" w:rsidRDefault="00640DBA" w:rsidP="00F43FBB">
      <w:pPr>
        <w:rPr>
          <w:rFonts w:asciiTheme="majorHAnsi" w:hAnsiTheme="majorHAnsi"/>
        </w:rPr>
      </w:pPr>
    </w:p>
    <w:p w:rsidR="00BB544E" w:rsidRDefault="00F43FBB" w:rsidP="00F43FBB">
      <w:pPr>
        <w:rPr>
          <w:rFonts w:asciiTheme="majorHAnsi" w:hAnsiTheme="majorHAnsi"/>
        </w:rPr>
      </w:pPr>
      <w:r w:rsidRPr="00F43FBB">
        <w:rPr>
          <w:rFonts w:asciiTheme="majorHAnsi" w:hAnsiTheme="majorHAnsi"/>
        </w:rPr>
        <w:t xml:space="preserve">There were concerns expressed about changing the composition of the </w:t>
      </w:r>
      <w:r>
        <w:rPr>
          <w:rFonts w:asciiTheme="majorHAnsi" w:hAnsiTheme="majorHAnsi"/>
        </w:rPr>
        <w:t xml:space="preserve">Forensic Science </w:t>
      </w:r>
      <w:r w:rsidRPr="00F43FBB">
        <w:rPr>
          <w:rFonts w:asciiTheme="majorHAnsi" w:hAnsiTheme="majorHAnsi"/>
        </w:rPr>
        <w:t xml:space="preserve">Board without knowing the history of </w:t>
      </w:r>
      <w:r>
        <w:rPr>
          <w:rFonts w:asciiTheme="majorHAnsi" w:hAnsiTheme="majorHAnsi"/>
        </w:rPr>
        <w:t xml:space="preserve">its </w:t>
      </w:r>
      <w:r w:rsidRPr="00F43FBB">
        <w:rPr>
          <w:rFonts w:asciiTheme="majorHAnsi" w:hAnsiTheme="majorHAnsi"/>
        </w:rPr>
        <w:t xml:space="preserve">formation or understanding </w:t>
      </w:r>
      <w:r>
        <w:rPr>
          <w:rFonts w:asciiTheme="majorHAnsi" w:hAnsiTheme="majorHAnsi"/>
        </w:rPr>
        <w:t xml:space="preserve">its </w:t>
      </w:r>
      <w:r w:rsidRPr="00F43FBB">
        <w:rPr>
          <w:rFonts w:asciiTheme="majorHAnsi" w:hAnsiTheme="majorHAnsi"/>
        </w:rPr>
        <w:t xml:space="preserve">functions.  Additionally, </w:t>
      </w:r>
      <w:r w:rsidR="00640DBA">
        <w:rPr>
          <w:rFonts w:asciiTheme="majorHAnsi" w:hAnsiTheme="majorHAnsi"/>
        </w:rPr>
        <w:t xml:space="preserve">it was noted that </w:t>
      </w:r>
      <w:r w:rsidR="00640DBA" w:rsidRPr="00F43FBB">
        <w:rPr>
          <w:rFonts w:asciiTheme="majorHAnsi" w:hAnsiTheme="majorHAnsi"/>
        </w:rPr>
        <w:t xml:space="preserve">there was a separate recommendation for a group to continue a study of forensic nursing issues related to PERKs </w:t>
      </w:r>
      <w:r w:rsidR="00640DBA">
        <w:rPr>
          <w:rFonts w:asciiTheme="majorHAnsi" w:hAnsiTheme="majorHAnsi"/>
        </w:rPr>
        <w:t>and</w:t>
      </w:r>
      <w:r w:rsidR="008A7FE4">
        <w:rPr>
          <w:rFonts w:asciiTheme="majorHAnsi" w:hAnsiTheme="majorHAnsi"/>
        </w:rPr>
        <w:t>,</w:t>
      </w:r>
      <w:r w:rsidR="00640DBA">
        <w:rPr>
          <w:rFonts w:asciiTheme="majorHAnsi" w:hAnsiTheme="majorHAnsi"/>
        </w:rPr>
        <w:t xml:space="preserve"> given </w:t>
      </w:r>
      <w:r w:rsidRPr="00F43FBB">
        <w:rPr>
          <w:rFonts w:asciiTheme="majorHAnsi" w:hAnsiTheme="majorHAnsi"/>
        </w:rPr>
        <w:t>that there are a limited number of forensic nurses across the Commonwealth</w:t>
      </w:r>
      <w:r w:rsidR="00640DBA">
        <w:rPr>
          <w:rFonts w:asciiTheme="majorHAnsi" w:hAnsiTheme="majorHAnsi"/>
        </w:rPr>
        <w:t xml:space="preserve">, </w:t>
      </w:r>
      <w:r w:rsidRPr="00F43FBB">
        <w:rPr>
          <w:rFonts w:asciiTheme="majorHAnsi" w:hAnsiTheme="majorHAnsi"/>
        </w:rPr>
        <w:t>that</w:t>
      </w:r>
      <w:r w:rsidR="00640DBA">
        <w:rPr>
          <w:rFonts w:asciiTheme="majorHAnsi" w:hAnsiTheme="majorHAnsi"/>
        </w:rPr>
        <w:t xml:space="preserve"> group </w:t>
      </w:r>
      <w:r w:rsidRPr="00F43FBB">
        <w:rPr>
          <w:rFonts w:asciiTheme="majorHAnsi" w:hAnsiTheme="majorHAnsi"/>
        </w:rPr>
        <w:t>may be a more targeted application of the forensic nursing community's limited resources.  It was also noted that the Forensic Science Board was created with 15 members, likely so there would be an odd number.  However, the Board seat designated for "[t]he Chairman of the Virginia Institute of Forensic Science and Medicine" has been vacant because that entity no longer exists</w:t>
      </w:r>
      <w:r w:rsidR="00385FA7">
        <w:rPr>
          <w:rFonts w:asciiTheme="majorHAnsi" w:hAnsiTheme="majorHAnsi"/>
        </w:rPr>
        <w:t xml:space="preserve"> so that the Board currently has only 14 members</w:t>
      </w:r>
      <w:r w:rsidRPr="00F43FBB">
        <w:rPr>
          <w:rFonts w:asciiTheme="majorHAnsi" w:hAnsiTheme="majorHAnsi"/>
        </w:rPr>
        <w:t xml:space="preserve">. </w:t>
      </w:r>
      <w:r w:rsidR="00385FA7">
        <w:rPr>
          <w:rFonts w:asciiTheme="majorHAnsi" w:hAnsiTheme="majorHAnsi"/>
        </w:rPr>
        <w:t xml:space="preserve"> </w:t>
      </w:r>
    </w:p>
    <w:p w:rsidR="00BB544E" w:rsidRDefault="00BB544E" w:rsidP="00F43FBB">
      <w:pPr>
        <w:rPr>
          <w:rFonts w:asciiTheme="majorHAnsi" w:hAnsiTheme="majorHAnsi"/>
        </w:rPr>
      </w:pPr>
    </w:p>
    <w:p w:rsidR="00F43FBB" w:rsidRDefault="00385FA7" w:rsidP="00746134">
      <w:pPr>
        <w:rPr>
          <w:rFonts w:asciiTheme="majorHAnsi" w:hAnsiTheme="majorHAnsi"/>
        </w:rPr>
      </w:pPr>
      <w:r>
        <w:rPr>
          <w:rFonts w:asciiTheme="majorHAnsi" w:hAnsiTheme="majorHAnsi"/>
        </w:rPr>
        <w:t xml:space="preserve">After discussion, the Chair asked for members </w:t>
      </w:r>
      <w:r w:rsidR="00BB544E">
        <w:rPr>
          <w:rFonts w:asciiTheme="majorHAnsi" w:hAnsiTheme="majorHAnsi"/>
        </w:rPr>
        <w:t xml:space="preserve">to vote on the </w:t>
      </w:r>
      <w:r>
        <w:rPr>
          <w:rFonts w:asciiTheme="majorHAnsi" w:hAnsiTheme="majorHAnsi"/>
        </w:rPr>
        <w:t>recommendation to add a victim advocate and a forensic nurse to the Forensic Science Board</w:t>
      </w:r>
      <w:r w:rsidR="00BB544E">
        <w:rPr>
          <w:rFonts w:asciiTheme="majorHAnsi" w:hAnsiTheme="majorHAnsi"/>
        </w:rPr>
        <w:t>.  Acknowledging that there were “nay” votes, the Chair</w:t>
      </w:r>
      <w:r>
        <w:rPr>
          <w:rFonts w:asciiTheme="majorHAnsi" w:hAnsiTheme="majorHAnsi"/>
        </w:rPr>
        <w:t xml:space="preserve"> </w:t>
      </w:r>
      <w:r w:rsidR="00BB544E">
        <w:rPr>
          <w:rFonts w:asciiTheme="majorHAnsi" w:hAnsiTheme="majorHAnsi"/>
        </w:rPr>
        <w:t xml:space="preserve">indicated that the “ayes” have it and that the recommendation </w:t>
      </w:r>
      <w:r>
        <w:rPr>
          <w:rFonts w:asciiTheme="majorHAnsi" w:hAnsiTheme="majorHAnsi"/>
        </w:rPr>
        <w:t>was adopted</w:t>
      </w:r>
      <w:r w:rsidR="00BB544E">
        <w:rPr>
          <w:rFonts w:asciiTheme="majorHAnsi" w:hAnsiTheme="majorHAnsi"/>
        </w:rPr>
        <w:t>.  Linda Jackson, the Director of DFS, abstained from the vote.</w:t>
      </w:r>
    </w:p>
    <w:p w:rsidR="00BB544E" w:rsidRPr="005052E0" w:rsidRDefault="00BB544E" w:rsidP="00746134">
      <w:pPr>
        <w:rPr>
          <w:rFonts w:asciiTheme="majorHAnsi" w:hAnsiTheme="majorHAnsi"/>
        </w:rPr>
      </w:pPr>
    </w:p>
    <w:p w:rsidR="00CA3A14" w:rsidRPr="00E21D8B" w:rsidRDefault="00CA3A14">
      <w:pPr>
        <w:jc w:val="both"/>
        <w:rPr>
          <w:rFonts w:asciiTheme="majorHAnsi" w:hAnsiTheme="majorHAnsi"/>
          <w:b/>
        </w:rPr>
      </w:pPr>
      <w:r w:rsidRPr="00E21D8B">
        <w:rPr>
          <w:rFonts w:asciiTheme="majorHAnsi" w:hAnsiTheme="majorHAnsi"/>
          <w:b/>
          <w:u w:val="single"/>
        </w:rPr>
        <w:t>Public Comment</w:t>
      </w:r>
      <w:r w:rsidRPr="00E21D8B">
        <w:rPr>
          <w:rFonts w:asciiTheme="majorHAnsi" w:hAnsiTheme="majorHAnsi"/>
          <w:b/>
        </w:rPr>
        <w:t xml:space="preserve">  </w:t>
      </w:r>
    </w:p>
    <w:p w:rsidR="00CA3A14" w:rsidRPr="00E21D8B" w:rsidRDefault="00E01447">
      <w:pPr>
        <w:jc w:val="both"/>
        <w:rPr>
          <w:rFonts w:asciiTheme="majorHAnsi" w:hAnsiTheme="majorHAnsi"/>
        </w:rPr>
      </w:pPr>
      <w:proofErr w:type="gramStart"/>
      <w:r w:rsidRPr="00E21D8B">
        <w:rPr>
          <w:rFonts w:asciiTheme="majorHAnsi" w:hAnsiTheme="majorHAnsi"/>
        </w:rPr>
        <w:t>None</w:t>
      </w:r>
      <w:r w:rsidR="00D83C10" w:rsidRPr="00E21D8B">
        <w:rPr>
          <w:rFonts w:asciiTheme="majorHAnsi" w:hAnsiTheme="majorHAnsi"/>
        </w:rPr>
        <w:t>.</w:t>
      </w:r>
      <w:proofErr w:type="gramEnd"/>
    </w:p>
    <w:p w:rsidR="00BB544E" w:rsidRDefault="00BB544E">
      <w:pPr>
        <w:jc w:val="both"/>
        <w:rPr>
          <w:rFonts w:asciiTheme="majorHAnsi" w:hAnsiTheme="majorHAnsi"/>
          <w:b/>
          <w:u w:val="single"/>
        </w:rPr>
      </w:pPr>
    </w:p>
    <w:p w:rsidR="006D459B" w:rsidRDefault="00D758BB">
      <w:pPr>
        <w:jc w:val="both"/>
        <w:rPr>
          <w:rFonts w:asciiTheme="majorHAnsi" w:hAnsiTheme="majorHAnsi"/>
          <w:b/>
          <w:u w:val="single"/>
        </w:rPr>
      </w:pPr>
      <w:r>
        <w:rPr>
          <w:rFonts w:asciiTheme="majorHAnsi" w:hAnsiTheme="majorHAnsi"/>
          <w:b/>
          <w:u w:val="single"/>
        </w:rPr>
        <w:t>Closing Remarks</w:t>
      </w:r>
    </w:p>
    <w:p w:rsidR="001B72ED" w:rsidRDefault="001B72ED">
      <w:pPr>
        <w:jc w:val="both"/>
        <w:rPr>
          <w:rFonts w:asciiTheme="majorHAnsi" w:hAnsiTheme="majorHAnsi"/>
        </w:rPr>
      </w:pPr>
      <w:r>
        <w:rPr>
          <w:rFonts w:asciiTheme="majorHAnsi" w:hAnsiTheme="majorHAnsi"/>
        </w:rPr>
        <w:t xml:space="preserve">On behalf of the Governor, Chairman Moran thanked all </w:t>
      </w:r>
      <w:r w:rsidR="000D3AB6">
        <w:rPr>
          <w:rFonts w:asciiTheme="majorHAnsi" w:hAnsiTheme="majorHAnsi"/>
        </w:rPr>
        <w:t xml:space="preserve">of </w:t>
      </w:r>
      <w:r>
        <w:rPr>
          <w:rFonts w:asciiTheme="majorHAnsi" w:hAnsiTheme="majorHAnsi"/>
        </w:rPr>
        <w:t xml:space="preserve">the Perk Work Group Members and staff members for their participation in the meetings and their help in </w:t>
      </w:r>
      <w:r w:rsidR="00A569EC">
        <w:rPr>
          <w:rFonts w:asciiTheme="majorHAnsi" w:hAnsiTheme="majorHAnsi"/>
        </w:rPr>
        <w:t xml:space="preserve">developing </w:t>
      </w:r>
      <w:r>
        <w:rPr>
          <w:rFonts w:asciiTheme="majorHAnsi" w:hAnsiTheme="majorHAnsi"/>
        </w:rPr>
        <w:t xml:space="preserve">the proposed recommendations. </w:t>
      </w:r>
      <w:r w:rsidR="00A569EC">
        <w:rPr>
          <w:rFonts w:asciiTheme="majorHAnsi" w:hAnsiTheme="majorHAnsi"/>
        </w:rPr>
        <w:t xml:space="preserve">He praised the group for its </w:t>
      </w:r>
      <w:r>
        <w:rPr>
          <w:rFonts w:asciiTheme="majorHAnsi" w:hAnsiTheme="majorHAnsi"/>
        </w:rPr>
        <w:t xml:space="preserve">very substantive </w:t>
      </w:r>
      <w:r w:rsidR="00A569EC">
        <w:rPr>
          <w:rFonts w:asciiTheme="majorHAnsi" w:hAnsiTheme="majorHAnsi"/>
        </w:rPr>
        <w:t xml:space="preserve">work in </w:t>
      </w:r>
      <w:r>
        <w:rPr>
          <w:rFonts w:asciiTheme="majorHAnsi" w:hAnsiTheme="majorHAnsi"/>
        </w:rPr>
        <w:t>identif</w:t>
      </w:r>
      <w:r w:rsidR="00A569EC">
        <w:rPr>
          <w:rFonts w:asciiTheme="majorHAnsi" w:hAnsiTheme="majorHAnsi"/>
        </w:rPr>
        <w:t>ying</w:t>
      </w:r>
      <w:r>
        <w:rPr>
          <w:rFonts w:asciiTheme="majorHAnsi" w:hAnsiTheme="majorHAnsi"/>
        </w:rPr>
        <w:t xml:space="preserve"> </w:t>
      </w:r>
      <w:r w:rsidR="00A569EC">
        <w:rPr>
          <w:rFonts w:asciiTheme="majorHAnsi" w:hAnsiTheme="majorHAnsi"/>
        </w:rPr>
        <w:t xml:space="preserve">and addressing </w:t>
      </w:r>
      <w:r>
        <w:rPr>
          <w:rFonts w:asciiTheme="majorHAnsi" w:hAnsiTheme="majorHAnsi"/>
        </w:rPr>
        <w:t>many issues</w:t>
      </w:r>
      <w:r w:rsidR="00A569EC">
        <w:rPr>
          <w:rFonts w:asciiTheme="majorHAnsi" w:hAnsiTheme="majorHAnsi"/>
        </w:rPr>
        <w:t>.  Finally, Chairman Moran noted that</w:t>
      </w:r>
      <w:r>
        <w:rPr>
          <w:rFonts w:asciiTheme="majorHAnsi" w:hAnsiTheme="majorHAnsi"/>
        </w:rPr>
        <w:t xml:space="preserve"> this is not the end</w:t>
      </w:r>
      <w:r w:rsidR="00A569EC">
        <w:rPr>
          <w:rFonts w:asciiTheme="majorHAnsi" w:hAnsiTheme="majorHAnsi"/>
        </w:rPr>
        <w:t xml:space="preserve"> because the Work Group has </w:t>
      </w:r>
      <w:r>
        <w:rPr>
          <w:rFonts w:asciiTheme="majorHAnsi" w:hAnsiTheme="majorHAnsi"/>
        </w:rPr>
        <w:t>recommendations</w:t>
      </w:r>
      <w:r w:rsidR="00A569EC">
        <w:rPr>
          <w:rFonts w:asciiTheme="majorHAnsi" w:hAnsiTheme="majorHAnsi"/>
        </w:rPr>
        <w:t xml:space="preserve"> for</w:t>
      </w:r>
      <w:r w:rsidR="002410BE">
        <w:rPr>
          <w:rFonts w:asciiTheme="majorHAnsi" w:hAnsiTheme="majorHAnsi"/>
        </w:rPr>
        <w:t xml:space="preserve"> legislation </w:t>
      </w:r>
      <w:r w:rsidR="00A569EC">
        <w:rPr>
          <w:rFonts w:asciiTheme="majorHAnsi" w:hAnsiTheme="majorHAnsi"/>
        </w:rPr>
        <w:t>that will need to be addressed in the upcoming General Assembly Session</w:t>
      </w:r>
      <w:r>
        <w:rPr>
          <w:rFonts w:asciiTheme="majorHAnsi" w:hAnsiTheme="majorHAnsi"/>
        </w:rPr>
        <w:t>.</w:t>
      </w:r>
    </w:p>
    <w:p w:rsidR="00D758BB" w:rsidRPr="00D758BB" w:rsidRDefault="00D758BB">
      <w:pPr>
        <w:jc w:val="both"/>
        <w:rPr>
          <w:rFonts w:asciiTheme="majorHAnsi" w:hAnsiTheme="majorHAnsi"/>
        </w:rPr>
      </w:pPr>
    </w:p>
    <w:p w:rsidR="00CA3A14" w:rsidRPr="00E21D8B" w:rsidRDefault="00CA3A14">
      <w:pPr>
        <w:jc w:val="both"/>
        <w:rPr>
          <w:rFonts w:asciiTheme="majorHAnsi" w:hAnsiTheme="majorHAnsi"/>
          <w:b/>
        </w:rPr>
      </w:pPr>
      <w:r w:rsidRPr="00E21D8B">
        <w:rPr>
          <w:rFonts w:asciiTheme="majorHAnsi" w:hAnsiTheme="majorHAnsi"/>
          <w:b/>
          <w:u w:val="single"/>
        </w:rPr>
        <w:t>Adjournment</w:t>
      </w:r>
      <w:r w:rsidRPr="00E21D8B">
        <w:rPr>
          <w:rFonts w:asciiTheme="majorHAnsi" w:hAnsiTheme="majorHAnsi"/>
          <w:b/>
        </w:rPr>
        <w:t xml:space="preserve"> </w:t>
      </w:r>
    </w:p>
    <w:p w:rsidR="00500CFC" w:rsidRPr="00E21D8B" w:rsidRDefault="00E01447">
      <w:pPr>
        <w:jc w:val="both"/>
        <w:rPr>
          <w:rFonts w:asciiTheme="majorHAnsi" w:hAnsiTheme="majorHAnsi"/>
        </w:rPr>
      </w:pPr>
      <w:r w:rsidRPr="00E21D8B">
        <w:rPr>
          <w:rFonts w:asciiTheme="majorHAnsi" w:hAnsiTheme="majorHAnsi"/>
        </w:rPr>
        <w:t xml:space="preserve">The meeting adjourned at </w:t>
      </w:r>
      <w:r w:rsidR="000478D5">
        <w:rPr>
          <w:rFonts w:asciiTheme="majorHAnsi" w:hAnsiTheme="majorHAnsi"/>
        </w:rPr>
        <w:t>1:30</w:t>
      </w:r>
      <w:r w:rsidR="005E61CF" w:rsidRPr="00E21D8B">
        <w:rPr>
          <w:rFonts w:asciiTheme="majorHAnsi" w:hAnsiTheme="majorHAnsi"/>
        </w:rPr>
        <w:t xml:space="preserve"> p.m.</w:t>
      </w:r>
    </w:p>
    <w:sectPr w:rsidR="00500CFC" w:rsidRPr="00E21D8B" w:rsidSect="004A7FA0">
      <w:footerReference w:type="even" r:id="rId9"/>
      <w:footerReference w:type="default" r:id="rId10"/>
      <w:pgSz w:w="12240" w:h="15840" w:code="1"/>
      <w:pgMar w:top="1440" w:right="1440" w:bottom="864"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C29" w:rsidRDefault="00F21C29">
      <w:r>
        <w:separator/>
      </w:r>
    </w:p>
  </w:endnote>
  <w:endnote w:type="continuationSeparator" w:id="0">
    <w:p w:rsidR="00F21C29" w:rsidRDefault="00F21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2ED" w:rsidRDefault="001B72ED" w:rsidP="00EF2C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B72ED" w:rsidRDefault="001B72ED" w:rsidP="00EF2C3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2ED" w:rsidRDefault="001B72ED" w:rsidP="00EF2C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33298">
      <w:rPr>
        <w:rStyle w:val="PageNumber"/>
        <w:noProof/>
      </w:rPr>
      <w:t>8</w:t>
    </w:r>
    <w:r>
      <w:rPr>
        <w:rStyle w:val="PageNumber"/>
      </w:rPr>
      <w:fldChar w:fldCharType="end"/>
    </w:r>
  </w:p>
  <w:p w:rsidR="001B72ED" w:rsidRDefault="001B72ED" w:rsidP="00EF2C3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C29" w:rsidRDefault="00F21C29">
      <w:r>
        <w:separator/>
      </w:r>
    </w:p>
  </w:footnote>
  <w:footnote w:type="continuationSeparator" w:id="0">
    <w:p w:rsidR="00F21C29" w:rsidRDefault="00F21C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5654"/>
    <w:multiLevelType w:val="hybridMultilevel"/>
    <w:tmpl w:val="02EC7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B55426"/>
    <w:multiLevelType w:val="hybridMultilevel"/>
    <w:tmpl w:val="F5E8495A"/>
    <w:lvl w:ilvl="0" w:tplc="606689D4">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1C6846"/>
    <w:multiLevelType w:val="hybridMultilevel"/>
    <w:tmpl w:val="CE1CC856"/>
    <w:lvl w:ilvl="0" w:tplc="0409000F">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C1379B"/>
    <w:multiLevelType w:val="hybridMultilevel"/>
    <w:tmpl w:val="28B89AEE"/>
    <w:lvl w:ilvl="0" w:tplc="3350DBF4">
      <w:start w:val="1"/>
      <w:numFmt w:val="upperRoman"/>
      <w:lvlText w:val="%1."/>
      <w:lvlJc w:val="left"/>
      <w:pPr>
        <w:ind w:left="1080" w:hanging="720"/>
      </w:pPr>
      <w:rPr>
        <w:rFonts w:hint="default"/>
      </w:rPr>
    </w:lvl>
    <w:lvl w:ilvl="1" w:tplc="22C2E652">
      <w:start w:val="1"/>
      <w:numFmt w:val="upp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0567C2"/>
    <w:multiLevelType w:val="hybridMultilevel"/>
    <w:tmpl w:val="8EE4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8F34C5"/>
    <w:multiLevelType w:val="hybridMultilevel"/>
    <w:tmpl w:val="704EC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001DB3"/>
    <w:multiLevelType w:val="hybridMultilevel"/>
    <w:tmpl w:val="5F56D2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097A33"/>
    <w:multiLevelType w:val="hybridMultilevel"/>
    <w:tmpl w:val="AA260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AE2956"/>
    <w:multiLevelType w:val="hybridMultilevel"/>
    <w:tmpl w:val="2C701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7B681B"/>
    <w:multiLevelType w:val="hybridMultilevel"/>
    <w:tmpl w:val="301AB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227912"/>
    <w:multiLevelType w:val="hybridMultilevel"/>
    <w:tmpl w:val="DDF80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BB6973"/>
    <w:multiLevelType w:val="hybridMultilevel"/>
    <w:tmpl w:val="CB48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7B6FFA"/>
    <w:multiLevelType w:val="hybridMultilevel"/>
    <w:tmpl w:val="5082E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2445A4"/>
    <w:multiLevelType w:val="hybridMultilevel"/>
    <w:tmpl w:val="B4FA65D6"/>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9E5394"/>
    <w:multiLevelType w:val="hybridMultilevel"/>
    <w:tmpl w:val="1EDE9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67E03C1"/>
    <w:multiLevelType w:val="hybridMultilevel"/>
    <w:tmpl w:val="45B2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8A42CD"/>
    <w:multiLevelType w:val="hybridMultilevel"/>
    <w:tmpl w:val="A6B043AE"/>
    <w:lvl w:ilvl="0" w:tplc="AE961E5A">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D1078D"/>
    <w:multiLevelType w:val="hybridMultilevel"/>
    <w:tmpl w:val="59C433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872218C"/>
    <w:multiLevelType w:val="hybridMultilevel"/>
    <w:tmpl w:val="60283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776016"/>
    <w:multiLevelType w:val="hybridMultilevel"/>
    <w:tmpl w:val="CB924CF4"/>
    <w:lvl w:ilvl="0" w:tplc="31808C74">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A73853"/>
    <w:multiLevelType w:val="hybridMultilevel"/>
    <w:tmpl w:val="2D2EA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BE1338"/>
    <w:multiLevelType w:val="hybridMultilevel"/>
    <w:tmpl w:val="F99C8CB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2">
    <w:nsid w:val="6FE750C0"/>
    <w:multiLevelType w:val="hybridMultilevel"/>
    <w:tmpl w:val="97A05B50"/>
    <w:lvl w:ilvl="0" w:tplc="9FE0F188">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0111E8C"/>
    <w:multiLevelType w:val="hybridMultilevel"/>
    <w:tmpl w:val="4E64B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7412F2"/>
    <w:multiLevelType w:val="hybridMultilevel"/>
    <w:tmpl w:val="0C04473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4"/>
  </w:num>
  <w:num w:numId="4">
    <w:abstractNumId w:val="11"/>
  </w:num>
  <w:num w:numId="5">
    <w:abstractNumId w:val="13"/>
  </w:num>
  <w:num w:numId="6">
    <w:abstractNumId w:val="18"/>
  </w:num>
  <w:num w:numId="7">
    <w:abstractNumId w:val="5"/>
  </w:num>
  <w:num w:numId="8">
    <w:abstractNumId w:val="15"/>
  </w:num>
  <w:num w:numId="9">
    <w:abstractNumId w:val="9"/>
  </w:num>
  <w:num w:numId="10">
    <w:abstractNumId w:val="20"/>
  </w:num>
  <w:num w:numId="11">
    <w:abstractNumId w:val="12"/>
  </w:num>
  <w:num w:numId="12">
    <w:abstractNumId w:val="24"/>
  </w:num>
  <w:num w:numId="13">
    <w:abstractNumId w:val="3"/>
  </w:num>
  <w:num w:numId="14">
    <w:abstractNumId w:val="7"/>
  </w:num>
  <w:num w:numId="15">
    <w:abstractNumId w:val="14"/>
  </w:num>
  <w:num w:numId="16">
    <w:abstractNumId w:val="23"/>
  </w:num>
  <w:num w:numId="17">
    <w:abstractNumId w:val="17"/>
  </w:num>
  <w:num w:numId="18">
    <w:abstractNumId w:val="2"/>
  </w:num>
  <w:num w:numId="19">
    <w:abstractNumId w:val="22"/>
  </w:num>
  <w:num w:numId="20">
    <w:abstractNumId w:val="16"/>
  </w:num>
  <w:num w:numId="21">
    <w:abstractNumId w:val="19"/>
  </w:num>
  <w:num w:numId="22">
    <w:abstractNumId w:val="1"/>
  </w:num>
  <w:num w:numId="23">
    <w:abstractNumId w:val="10"/>
  </w:num>
  <w:num w:numId="24">
    <w:abstractNumId w:val="21"/>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A14"/>
    <w:rsid w:val="0000049B"/>
    <w:rsid w:val="00000509"/>
    <w:rsid w:val="00001C1E"/>
    <w:rsid w:val="000065C8"/>
    <w:rsid w:val="0000672B"/>
    <w:rsid w:val="00007D21"/>
    <w:rsid w:val="00010202"/>
    <w:rsid w:val="000107CD"/>
    <w:rsid w:val="0001380C"/>
    <w:rsid w:val="0001450A"/>
    <w:rsid w:val="00022FC5"/>
    <w:rsid w:val="00023053"/>
    <w:rsid w:val="00023B22"/>
    <w:rsid w:val="00024457"/>
    <w:rsid w:val="00033966"/>
    <w:rsid w:val="00033E51"/>
    <w:rsid w:val="00035EA8"/>
    <w:rsid w:val="00036A89"/>
    <w:rsid w:val="0003705B"/>
    <w:rsid w:val="00037C9C"/>
    <w:rsid w:val="00037FB9"/>
    <w:rsid w:val="00040921"/>
    <w:rsid w:val="00046015"/>
    <w:rsid w:val="00046065"/>
    <w:rsid w:val="0004677D"/>
    <w:rsid w:val="000475DC"/>
    <w:rsid w:val="000478D5"/>
    <w:rsid w:val="000504B3"/>
    <w:rsid w:val="00051F94"/>
    <w:rsid w:val="00052062"/>
    <w:rsid w:val="000544AB"/>
    <w:rsid w:val="00054F57"/>
    <w:rsid w:val="0005507F"/>
    <w:rsid w:val="00060A38"/>
    <w:rsid w:val="00062BD0"/>
    <w:rsid w:val="00064B2A"/>
    <w:rsid w:val="000670E7"/>
    <w:rsid w:val="00072F70"/>
    <w:rsid w:val="00084C48"/>
    <w:rsid w:val="00084E37"/>
    <w:rsid w:val="00093DFD"/>
    <w:rsid w:val="000A187D"/>
    <w:rsid w:val="000A2ED3"/>
    <w:rsid w:val="000A65F6"/>
    <w:rsid w:val="000A6E1C"/>
    <w:rsid w:val="000A7AC3"/>
    <w:rsid w:val="000B3944"/>
    <w:rsid w:val="000B401A"/>
    <w:rsid w:val="000B5833"/>
    <w:rsid w:val="000B5D8F"/>
    <w:rsid w:val="000B635A"/>
    <w:rsid w:val="000B7608"/>
    <w:rsid w:val="000C0196"/>
    <w:rsid w:val="000C1F29"/>
    <w:rsid w:val="000C56BB"/>
    <w:rsid w:val="000C5DFF"/>
    <w:rsid w:val="000C61F6"/>
    <w:rsid w:val="000C6241"/>
    <w:rsid w:val="000C6264"/>
    <w:rsid w:val="000C7511"/>
    <w:rsid w:val="000D2C64"/>
    <w:rsid w:val="000D3AB6"/>
    <w:rsid w:val="000D498C"/>
    <w:rsid w:val="000D5CA8"/>
    <w:rsid w:val="000E1025"/>
    <w:rsid w:val="000E186D"/>
    <w:rsid w:val="000E20FD"/>
    <w:rsid w:val="000E2897"/>
    <w:rsid w:val="000E2E7E"/>
    <w:rsid w:val="000E3BD0"/>
    <w:rsid w:val="000E633E"/>
    <w:rsid w:val="000F0308"/>
    <w:rsid w:val="000F31DB"/>
    <w:rsid w:val="000F42BD"/>
    <w:rsid w:val="000F533D"/>
    <w:rsid w:val="000F6D86"/>
    <w:rsid w:val="000F792D"/>
    <w:rsid w:val="000F7A91"/>
    <w:rsid w:val="001018DA"/>
    <w:rsid w:val="00101F86"/>
    <w:rsid w:val="001053A2"/>
    <w:rsid w:val="00105A05"/>
    <w:rsid w:val="0010767D"/>
    <w:rsid w:val="00111FD3"/>
    <w:rsid w:val="0011302E"/>
    <w:rsid w:val="0011398F"/>
    <w:rsid w:val="001147A4"/>
    <w:rsid w:val="00115867"/>
    <w:rsid w:val="00115A0F"/>
    <w:rsid w:val="00117001"/>
    <w:rsid w:val="00120C5C"/>
    <w:rsid w:val="00122810"/>
    <w:rsid w:val="00123756"/>
    <w:rsid w:val="00123FDC"/>
    <w:rsid w:val="00125E4F"/>
    <w:rsid w:val="0012694B"/>
    <w:rsid w:val="00130039"/>
    <w:rsid w:val="00130E1E"/>
    <w:rsid w:val="00132C8C"/>
    <w:rsid w:val="00137533"/>
    <w:rsid w:val="0013792C"/>
    <w:rsid w:val="00137A3F"/>
    <w:rsid w:val="0014012B"/>
    <w:rsid w:val="001414DC"/>
    <w:rsid w:val="00141732"/>
    <w:rsid w:val="00141C65"/>
    <w:rsid w:val="00142A1A"/>
    <w:rsid w:val="00144007"/>
    <w:rsid w:val="00144B16"/>
    <w:rsid w:val="00144BA8"/>
    <w:rsid w:val="00145D00"/>
    <w:rsid w:val="001466EC"/>
    <w:rsid w:val="00146D3E"/>
    <w:rsid w:val="00146F3D"/>
    <w:rsid w:val="001501D5"/>
    <w:rsid w:val="0015203C"/>
    <w:rsid w:val="00155B1A"/>
    <w:rsid w:val="00165C80"/>
    <w:rsid w:val="00166949"/>
    <w:rsid w:val="001748EB"/>
    <w:rsid w:val="001773EA"/>
    <w:rsid w:val="00182250"/>
    <w:rsid w:val="0018412D"/>
    <w:rsid w:val="001866EF"/>
    <w:rsid w:val="00186F6A"/>
    <w:rsid w:val="00190C17"/>
    <w:rsid w:val="0019119A"/>
    <w:rsid w:val="00191A1B"/>
    <w:rsid w:val="001929E2"/>
    <w:rsid w:val="001932B9"/>
    <w:rsid w:val="00194689"/>
    <w:rsid w:val="00195200"/>
    <w:rsid w:val="00195C9A"/>
    <w:rsid w:val="0019628A"/>
    <w:rsid w:val="00197B85"/>
    <w:rsid w:val="00197DE7"/>
    <w:rsid w:val="001A2B0D"/>
    <w:rsid w:val="001A4101"/>
    <w:rsid w:val="001A51D6"/>
    <w:rsid w:val="001A52EA"/>
    <w:rsid w:val="001A5DE6"/>
    <w:rsid w:val="001B3DB6"/>
    <w:rsid w:val="001B72ED"/>
    <w:rsid w:val="001C0BB0"/>
    <w:rsid w:val="001C0F5D"/>
    <w:rsid w:val="001C1C49"/>
    <w:rsid w:val="001C1CF1"/>
    <w:rsid w:val="001C35B3"/>
    <w:rsid w:val="001C61FE"/>
    <w:rsid w:val="001D172B"/>
    <w:rsid w:val="001D5401"/>
    <w:rsid w:val="001D658A"/>
    <w:rsid w:val="001E0296"/>
    <w:rsid w:val="001E2F22"/>
    <w:rsid w:val="001E35D9"/>
    <w:rsid w:val="001E38D3"/>
    <w:rsid w:val="001E3ADF"/>
    <w:rsid w:val="001E5E62"/>
    <w:rsid w:val="001E6E82"/>
    <w:rsid w:val="001E7A66"/>
    <w:rsid w:val="001F1482"/>
    <w:rsid w:val="001F4FE6"/>
    <w:rsid w:val="00204F7C"/>
    <w:rsid w:val="0020631E"/>
    <w:rsid w:val="00206A30"/>
    <w:rsid w:val="00207981"/>
    <w:rsid w:val="00213FEF"/>
    <w:rsid w:val="0021548E"/>
    <w:rsid w:val="00217B72"/>
    <w:rsid w:val="00225013"/>
    <w:rsid w:val="00225876"/>
    <w:rsid w:val="00225891"/>
    <w:rsid w:val="00227416"/>
    <w:rsid w:val="00227600"/>
    <w:rsid w:val="00230CAF"/>
    <w:rsid w:val="002317A2"/>
    <w:rsid w:val="00231A41"/>
    <w:rsid w:val="00235112"/>
    <w:rsid w:val="00235A44"/>
    <w:rsid w:val="00235C71"/>
    <w:rsid w:val="002376A7"/>
    <w:rsid w:val="00237E57"/>
    <w:rsid w:val="00240864"/>
    <w:rsid w:val="002410BE"/>
    <w:rsid w:val="00247458"/>
    <w:rsid w:val="00250516"/>
    <w:rsid w:val="0025216C"/>
    <w:rsid w:val="0025343E"/>
    <w:rsid w:val="0025394D"/>
    <w:rsid w:val="00253D7A"/>
    <w:rsid w:val="00253E58"/>
    <w:rsid w:val="00254F2C"/>
    <w:rsid w:val="00262A33"/>
    <w:rsid w:val="002640D7"/>
    <w:rsid w:val="00267DD7"/>
    <w:rsid w:val="00273C5B"/>
    <w:rsid w:val="00276C8C"/>
    <w:rsid w:val="00277450"/>
    <w:rsid w:val="002778C1"/>
    <w:rsid w:val="00281742"/>
    <w:rsid w:val="0028749C"/>
    <w:rsid w:val="00287957"/>
    <w:rsid w:val="00287D8B"/>
    <w:rsid w:val="0029064D"/>
    <w:rsid w:val="00294C27"/>
    <w:rsid w:val="00297793"/>
    <w:rsid w:val="002A04DC"/>
    <w:rsid w:val="002A1961"/>
    <w:rsid w:val="002A1DA4"/>
    <w:rsid w:val="002A637B"/>
    <w:rsid w:val="002B0B5E"/>
    <w:rsid w:val="002B0EF5"/>
    <w:rsid w:val="002B2C54"/>
    <w:rsid w:val="002B2DAB"/>
    <w:rsid w:val="002B3BA1"/>
    <w:rsid w:val="002B5F06"/>
    <w:rsid w:val="002B6670"/>
    <w:rsid w:val="002B702D"/>
    <w:rsid w:val="002B738D"/>
    <w:rsid w:val="002C1437"/>
    <w:rsid w:val="002C20AE"/>
    <w:rsid w:val="002C2D93"/>
    <w:rsid w:val="002C4146"/>
    <w:rsid w:val="002C73D5"/>
    <w:rsid w:val="002D073D"/>
    <w:rsid w:val="002D09CF"/>
    <w:rsid w:val="002D10FF"/>
    <w:rsid w:val="002D2EC4"/>
    <w:rsid w:val="002D4C5C"/>
    <w:rsid w:val="002D5E0C"/>
    <w:rsid w:val="002E4FF4"/>
    <w:rsid w:val="002E7E57"/>
    <w:rsid w:val="002F28CE"/>
    <w:rsid w:val="002F2DE3"/>
    <w:rsid w:val="002F5FAE"/>
    <w:rsid w:val="002F725E"/>
    <w:rsid w:val="003005AA"/>
    <w:rsid w:val="00303F1F"/>
    <w:rsid w:val="003054EB"/>
    <w:rsid w:val="003158C1"/>
    <w:rsid w:val="003163D2"/>
    <w:rsid w:val="00317305"/>
    <w:rsid w:val="00337C06"/>
    <w:rsid w:val="003417CC"/>
    <w:rsid w:val="003429FF"/>
    <w:rsid w:val="00343654"/>
    <w:rsid w:val="00344B6D"/>
    <w:rsid w:val="00344E10"/>
    <w:rsid w:val="003474F7"/>
    <w:rsid w:val="00347E45"/>
    <w:rsid w:val="00351C1F"/>
    <w:rsid w:val="00351CE0"/>
    <w:rsid w:val="003558E1"/>
    <w:rsid w:val="00355DD7"/>
    <w:rsid w:val="003560E6"/>
    <w:rsid w:val="00357073"/>
    <w:rsid w:val="00360C7F"/>
    <w:rsid w:val="00360C8C"/>
    <w:rsid w:val="00360FBD"/>
    <w:rsid w:val="00361936"/>
    <w:rsid w:val="00362274"/>
    <w:rsid w:val="00362BEE"/>
    <w:rsid w:val="003634ED"/>
    <w:rsid w:val="003638AD"/>
    <w:rsid w:val="00363B48"/>
    <w:rsid w:val="00363C47"/>
    <w:rsid w:val="00364BAE"/>
    <w:rsid w:val="00366D7C"/>
    <w:rsid w:val="0037073C"/>
    <w:rsid w:val="00371ED5"/>
    <w:rsid w:val="0038254C"/>
    <w:rsid w:val="00382F4C"/>
    <w:rsid w:val="00385FA7"/>
    <w:rsid w:val="00386325"/>
    <w:rsid w:val="00386E45"/>
    <w:rsid w:val="00386F1E"/>
    <w:rsid w:val="0039141F"/>
    <w:rsid w:val="00394333"/>
    <w:rsid w:val="003A0895"/>
    <w:rsid w:val="003A1399"/>
    <w:rsid w:val="003A35C5"/>
    <w:rsid w:val="003A4991"/>
    <w:rsid w:val="003A5476"/>
    <w:rsid w:val="003A56B5"/>
    <w:rsid w:val="003B0619"/>
    <w:rsid w:val="003B06CA"/>
    <w:rsid w:val="003B0705"/>
    <w:rsid w:val="003B138E"/>
    <w:rsid w:val="003B2852"/>
    <w:rsid w:val="003B4817"/>
    <w:rsid w:val="003B704D"/>
    <w:rsid w:val="003B7FD3"/>
    <w:rsid w:val="003C1766"/>
    <w:rsid w:val="003C250C"/>
    <w:rsid w:val="003C2CB6"/>
    <w:rsid w:val="003C3CC6"/>
    <w:rsid w:val="003C796F"/>
    <w:rsid w:val="003D179A"/>
    <w:rsid w:val="003E5936"/>
    <w:rsid w:val="003E7529"/>
    <w:rsid w:val="003E7637"/>
    <w:rsid w:val="003F1F01"/>
    <w:rsid w:val="003F28F4"/>
    <w:rsid w:val="003F2F0A"/>
    <w:rsid w:val="003F5DA6"/>
    <w:rsid w:val="004004E7"/>
    <w:rsid w:val="00401F90"/>
    <w:rsid w:val="00403BDB"/>
    <w:rsid w:val="00407EA0"/>
    <w:rsid w:val="00413873"/>
    <w:rsid w:val="00413D5D"/>
    <w:rsid w:val="0041574C"/>
    <w:rsid w:val="00416E27"/>
    <w:rsid w:val="00417A14"/>
    <w:rsid w:val="0042026C"/>
    <w:rsid w:val="00421D4E"/>
    <w:rsid w:val="00427CAF"/>
    <w:rsid w:val="00427F56"/>
    <w:rsid w:val="0043049D"/>
    <w:rsid w:val="0043204E"/>
    <w:rsid w:val="00433F51"/>
    <w:rsid w:val="00436718"/>
    <w:rsid w:val="004406AD"/>
    <w:rsid w:val="00440F2D"/>
    <w:rsid w:val="00440FCB"/>
    <w:rsid w:val="00443891"/>
    <w:rsid w:val="00445E94"/>
    <w:rsid w:val="00446096"/>
    <w:rsid w:val="004463CD"/>
    <w:rsid w:val="00447B1E"/>
    <w:rsid w:val="00447EB1"/>
    <w:rsid w:val="00450DA9"/>
    <w:rsid w:val="00454AA2"/>
    <w:rsid w:val="00455302"/>
    <w:rsid w:val="004565A3"/>
    <w:rsid w:val="00456B6B"/>
    <w:rsid w:val="00456D06"/>
    <w:rsid w:val="00456F11"/>
    <w:rsid w:val="0045727C"/>
    <w:rsid w:val="0046016B"/>
    <w:rsid w:val="00461342"/>
    <w:rsid w:val="00463F7E"/>
    <w:rsid w:val="00465A6A"/>
    <w:rsid w:val="00467FB0"/>
    <w:rsid w:val="00471037"/>
    <w:rsid w:val="00474C41"/>
    <w:rsid w:val="004765F3"/>
    <w:rsid w:val="004818A8"/>
    <w:rsid w:val="00481B6A"/>
    <w:rsid w:val="00483138"/>
    <w:rsid w:val="00485FF5"/>
    <w:rsid w:val="004878E0"/>
    <w:rsid w:val="00492AEA"/>
    <w:rsid w:val="0049358D"/>
    <w:rsid w:val="00496CC4"/>
    <w:rsid w:val="004A40F2"/>
    <w:rsid w:val="004A5654"/>
    <w:rsid w:val="004A5C9F"/>
    <w:rsid w:val="004A6CF4"/>
    <w:rsid w:val="004A7FA0"/>
    <w:rsid w:val="004B0E5D"/>
    <w:rsid w:val="004B1D45"/>
    <w:rsid w:val="004B4968"/>
    <w:rsid w:val="004B4A63"/>
    <w:rsid w:val="004B6A95"/>
    <w:rsid w:val="004C06C8"/>
    <w:rsid w:val="004C08A9"/>
    <w:rsid w:val="004C0D86"/>
    <w:rsid w:val="004C5110"/>
    <w:rsid w:val="004C79A4"/>
    <w:rsid w:val="004D26C3"/>
    <w:rsid w:val="004D5622"/>
    <w:rsid w:val="004D66F2"/>
    <w:rsid w:val="004D70FA"/>
    <w:rsid w:val="004D7C8B"/>
    <w:rsid w:val="004E1C80"/>
    <w:rsid w:val="004E339C"/>
    <w:rsid w:val="004E4B4A"/>
    <w:rsid w:val="004E6677"/>
    <w:rsid w:val="004F0573"/>
    <w:rsid w:val="004F365B"/>
    <w:rsid w:val="004F505C"/>
    <w:rsid w:val="004F54CE"/>
    <w:rsid w:val="004F6619"/>
    <w:rsid w:val="00500CFC"/>
    <w:rsid w:val="00501A05"/>
    <w:rsid w:val="00501DA2"/>
    <w:rsid w:val="0050250B"/>
    <w:rsid w:val="00506AEC"/>
    <w:rsid w:val="00507314"/>
    <w:rsid w:val="0050747C"/>
    <w:rsid w:val="00510369"/>
    <w:rsid w:val="00514E83"/>
    <w:rsid w:val="005162B6"/>
    <w:rsid w:val="00516889"/>
    <w:rsid w:val="00517DD1"/>
    <w:rsid w:val="00525A3F"/>
    <w:rsid w:val="00533652"/>
    <w:rsid w:val="0053392C"/>
    <w:rsid w:val="005349EB"/>
    <w:rsid w:val="00534F3F"/>
    <w:rsid w:val="0053503A"/>
    <w:rsid w:val="0053507C"/>
    <w:rsid w:val="00535FD6"/>
    <w:rsid w:val="005365BF"/>
    <w:rsid w:val="0053666D"/>
    <w:rsid w:val="005376A5"/>
    <w:rsid w:val="00542404"/>
    <w:rsid w:val="00545519"/>
    <w:rsid w:val="0054693C"/>
    <w:rsid w:val="005501ED"/>
    <w:rsid w:val="00552411"/>
    <w:rsid w:val="0055618C"/>
    <w:rsid w:val="0055693B"/>
    <w:rsid w:val="00557BC2"/>
    <w:rsid w:val="005606F9"/>
    <w:rsid w:val="005613DF"/>
    <w:rsid w:val="00564AB3"/>
    <w:rsid w:val="00564C97"/>
    <w:rsid w:val="005662AE"/>
    <w:rsid w:val="00566B96"/>
    <w:rsid w:val="00572BE2"/>
    <w:rsid w:val="0057430A"/>
    <w:rsid w:val="00575DD7"/>
    <w:rsid w:val="00580328"/>
    <w:rsid w:val="0058153B"/>
    <w:rsid w:val="00582149"/>
    <w:rsid w:val="00582732"/>
    <w:rsid w:val="00583572"/>
    <w:rsid w:val="00583F96"/>
    <w:rsid w:val="00584108"/>
    <w:rsid w:val="00584830"/>
    <w:rsid w:val="00585E31"/>
    <w:rsid w:val="00586D83"/>
    <w:rsid w:val="005873FD"/>
    <w:rsid w:val="00587B06"/>
    <w:rsid w:val="005916F1"/>
    <w:rsid w:val="005925EA"/>
    <w:rsid w:val="00592A11"/>
    <w:rsid w:val="00593FFC"/>
    <w:rsid w:val="00596CFB"/>
    <w:rsid w:val="005A11AB"/>
    <w:rsid w:val="005A4E24"/>
    <w:rsid w:val="005A522F"/>
    <w:rsid w:val="005A7133"/>
    <w:rsid w:val="005B0CB1"/>
    <w:rsid w:val="005B0DB7"/>
    <w:rsid w:val="005B6615"/>
    <w:rsid w:val="005C0BB9"/>
    <w:rsid w:val="005C17C9"/>
    <w:rsid w:val="005C3989"/>
    <w:rsid w:val="005C3ECF"/>
    <w:rsid w:val="005C4CA5"/>
    <w:rsid w:val="005C7CBD"/>
    <w:rsid w:val="005C7DCE"/>
    <w:rsid w:val="005D00A9"/>
    <w:rsid w:val="005D0592"/>
    <w:rsid w:val="005D0B80"/>
    <w:rsid w:val="005D28BF"/>
    <w:rsid w:val="005D5EBA"/>
    <w:rsid w:val="005D7341"/>
    <w:rsid w:val="005D7A02"/>
    <w:rsid w:val="005E2547"/>
    <w:rsid w:val="005E2BA4"/>
    <w:rsid w:val="005E2DFD"/>
    <w:rsid w:val="005E3541"/>
    <w:rsid w:val="005E40D6"/>
    <w:rsid w:val="005E61CF"/>
    <w:rsid w:val="005E7232"/>
    <w:rsid w:val="005F29E1"/>
    <w:rsid w:val="005F3B3C"/>
    <w:rsid w:val="005F3D16"/>
    <w:rsid w:val="005F7D62"/>
    <w:rsid w:val="00602008"/>
    <w:rsid w:val="006021A9"/>
    <w:rsid w:val="0060296C"/>
    <w:rsid w:val="006037F5"/>
    <w:rsid w:val="00605253"/>
    <w:rsid w:val="00607D70"/>
    <w:rsid w:val="006130CC"/>
    <w:rsid w:val="0061390F"/>
    <w:rsid w:val="00617457"/>
    <w:rsid w:val="0062325A"/>
    <w:rsid w:val="00623726"/>
    <w:rsid w:val="00623C01"/>
    <w:rsid w:val="006262EE"/>
    <w:rsid w:val="00627084"/>
    <w:rsid w:val="0062798A"/>
    <w:rsid w:val="00630BB8"/>
    <w:rsid w:val="00630C62"/>
    <w:rsid w:val="00633675"/>
    <w:rsid w:val="00633D51"/>
    <w:rsid w:val="00635150"/>
    <w:rsid w:val="00640DBA"/>
    <w:rsid w:val="0064657D"/>
    <w:rsid w:val="0064684D"/>
    <w:rsid w:val="00653BF2"/>
    <w:rsid w:val="006602EA"/>
    <w:rsid w:val="00661B37"/>
    <w:rsid w:val="00663925"/>
    <w:rsid w:val="00663F31"/>
    <w:rsid w:val="006671DB"/>
    <w:rsid w:val="00670EB6"/>
    <w:rsid w:val="00675A36"/>
    <w:rsid w:val="006778D1"/>
    <w:rsid w:val="00680ECF"/>
    <w:rsid w:val="0068100E"/>
    <w:rsid w:val="0068113F"/>
    <w:rsid w:val="00681339"/>
    <w:rsid w:val="0068222C"/>
    <w:rsid w:val="006828FE"/>
    <w:rsid w:val="00683BCE"/>
    <w:rsid w:val="006905BE"/>
    <w:rsid w:val="00692E90"/>
    <w:rsid w:val="00697FA8"/>
    <w:rsid w:val="006A0F13"/>
    <w:rsid w:val="006A23EC"/>
    <w:rsid w:val="006A47D5"/>
    <w:rsid w:val="006A50F9"/>
    <w:rsid w:val="006A7547"/>
    <w:rsid w:val="006B1669"/>
    <w:rsid w:val="006B3A7E"/>
    <w:rsid w:val="006B3EDD"/>
    <w:rsid w:val="006B4D08"/>
    <w:rsid w:val="006B531E"/>
    <w:rsid w:val="006C33E0"/>
    <w:rsid w:val="006C4B58"/>
    <w:rsid w:val="006C5A4C"/>
    <w:rsid w:val="006C7B0B"/>
    <w:rsid w:val="006D1663"/>
    <w:rsid w:val="006D3601"/>
    <w:rsid w:val="006D459B"/>
    <w:rsid w:val="006D7112"/>
    <w:rsid w:val="006D776B"/>
    <w:rsid w:val="006D7F44"/>
    <w:rsid w:val="006E2460"/>
    <w:rsid w:val="006E5354"/>
    <w:rsid w:val="006E5514"/>
    <w:rsid w:val="006F1339"/>
    <w:rsid w:val="006F15D6"/>
    <w:rsid w:val="006F1DEA"/>
    <w:rsid w:val="006F2B7C"/>
    <w:rsid w:val="006F70FE"/>
    <w:rsid w:val="0070545E"/>
    <w:rsid w:val="00707F4A"/>
    <w:rsid w:val="00712C31"/>
    <w:rsid w:val="00713AD4"/>
    <w:rsid w:val="00715FA0"/>
    <w:rsid w:val="0071679C"/>
    <w:rsid w:val="00720253"/>
    <w:rsid w:val="00720F71"/>
    <w:rsid w:val="00722430"/>
    <w:rsid w:val="0072368E"/>
    <w:rsid w:val="0072392B"/>
    <w:rsid w:val="007239FB"/>
    <w:rsid w:val="00726D9B"/>
    <w:rsid w:val="00727B1E"/>
    <w:rsid w:val="00730D3A"/>
    <w:rsid w:val="00731067"/>
    <w:rsid w:val="00731327"/>
    <w:rsid w:val="00731D4B"/>
    <w:rsid w:val="00732A29"/>
    <w:rsid w:val="00732E4E"/>
    <w:rsid w:val="00733075"/>
    <w:rsid w:val="0073664A"/>
    <w:rsid w:val="00741B8A"/>
    <w:rsid w:val="00743C80"/>
    <w:rsid w:val="0074452C"/>
    <w:rsid w:val="007452B7"/>
    <w:rsid w:val="00746134"/>
    <w:rsid w:val="007518B2"/>
    <w:rsid w:val="007535EF"/>
    <w:rsid w:val="00754718"/>
    <w:rsid w:val="00754846"/>
    <w:rsid w:val="00754B0F"/>
    <w:rsid w:val="00760961"/>
    <w:rsid w:val="00761201"/>
    <w:rsid w:val="007633B7"/>
    <w:rsid w:val="00765931"/>
    <w:rsid w:val="00767435"/>
    <w:rsid w:val="00770057"/>
    <w:rsid w:val="00770BAC"/>
    <w:rsid w:val="00774E86"/>
    <w:rsid w:val="00777036"/>
    <w:rsid w:val="0078097D"/>
    <w:rsid w:val="007851A7"/>
    <w:rsid w:val="007909EC"/>
    <w:rsid w:val="00790BC6"/>
    <w:rsid w:val="007965B1"/>
    <w:rsid w:val="00797DD5"/>
    <w:rsid w:val="007A1217"/>
    <w:rsid w:val="007A3242"/>
    <w:rsid w:val="007A343E"/>
    <w:rsid w:val="007A557A"/>
    <w:rsid w:val="007A6D14"/>
    <w:rsid w:val="007A7A3A"/>
    <w:rsid w:val="007B0815"/>
    <w:rsid w:val="007B1A8B"/>
    <w:rsid w:val="007B314E"/>
    <w:rsid w:val="007C5B0B"/>
    <w:rsid w:val="007D4F43"/>
    <w:rsid w:val="007D5605"/>
    <w:rsid w:val="007D6E76"/>
    <w:rsid w:val="007E1806"/>
    <w:rsid w:val="007E1EF4"/>
    <w:rsid w:val="007E4C8B"/>
    <w:rsid w:val="007E529D"/>
    <w:rsid w:val="007F0751"/>
    <w:rsid w:val="007F0BE4"/>
    <w:rsid w:val="007F0E0F"/>
    <w:rsid w:val="007F587D"/>
    <w:rsid w:val="007F7F8E"/>
    <w:rsid w:val="0080040B"/>
    <w:rsid w:val="00804C23"/>
    <w:rsid w:val="00805DAC"/>
    <w:rsid w:val="00812C13"/>
    <w:rsid w:val="008133B4"/>
    <w:rsid w:val="00815440"/>
    <w:rsid w:val="00816D2B"/>
    <w:rsid w:val="00822589"/>
    <w:rsid w:val="00822F11"/>
    <w:rsid w:val="00825241"/>
    <w:rsid w:val="00825C91"/>
    <w:rsid w:val="00830187"/>
    <w:rsid w:val="0083165C"/>
    <w:rsid w:val="00831D32"/>
    <w:rsid w:val="00832677"/>
    <w:rsid w:val="008402FC"/>
    <w:rsid w:val="00843EFF"/>
    <w:rsid w:val="0084409F"/>
    <w:rsid w:val="00844E3F"/>
    <w:rsid w:val="008471FD"/>
    <w:rsid w:val="0085083B"/>
    <w:rsid w:val="0085428E"/>
    <w:rsid w:val="008542FD"/>
    <w:rsid w:val="00855E81"/>
    <w:rsid w:val="0085669E"/>
    <w:rsid w:val="008574A1"/>
    <w:rsid w:val="008649AE"/>
    <w:rsid w:val="00865158"/>
    <w:rsid w:val="00865BAD"/>
    <w:rsid w:val="00867F95"/>
    <w:rsid w:val="00871834"/>
    <w:rsid w:val="0087572C"/>
    <w:rsid w:val="0087618B"/>
    <w:rsid w:val="00877B7B"/>
    <w:rsid w:val="008802C8"/>
    <w:rsid w:val="00881532"/>
    <w:rsid w:val="00882A64"/>
    <w:rsid w:val="00885D90"/>
    <w:rsid w:val="00885F63"/>
    <w:rsid w:val="00892E75"/>
    <w:rsid w:val="00894438"/>
    <w:rsid w:val="00897BAC"/>
    <w:rsid w:val="008A1330"/>
    <w:rsid w:val="008A2D84"/>
    <w:rsid w:val="008A5014"/>
    <w:rsid w:val="008A7FE4"/>
    <w:rsid w:val="008B0B1B"/>
    <w:rsid w:val="008B1AAD"/>
    <w:rsid w:val="008B1CE8"/>
    <w:rsid w:val="008B304B"/>
    <w:rsid w:val="008B4CD6"/>
    <w:rsid w:val="008C3DA5"/>
    <w:rsid w:val="008C50CB"/>
    <w:rsid w:val="008C5D2C"/>
    <w:rsid w:val="008C61E5"/>
    <w:rsid w:val="008D021C"/>
    <w:rsid w:val="008D0A96"/>
    <w:rsid w:val="008D21F9"/>
    <w:rsid w:val="008D234D"/>
    <w:rsid w:val="008D47EE"/>
    <w:rsid w:val="008D6271"/>
    <w:rsid w:val="008E0F15"/>
    <w:rsid w:val="008E20C0"/>
    <w:rsid w:val="008E3C91"/>
    <w:rsid w:val="008E47B8"/>
    <w:rsid w:val="008E5B10"/>
    <w:rsid w:val="008E7EE1"/>
    <w:rsid w:val="008F159D"/>
    <w:rsid w:val="008F37DD"/>
    <w:rsid w:val="008F4111"/>
    <w:rsid w:val="008F42CA"/>
    <w:rsid w:val="008F58A0"/>
    <w:rsid w:val="008F6EE5"/>
    <w:rsid w:val="00900DE5"/>
    <w:rsid w:val="0090145C"/>
    <w:rsid w:val="00905D36"/>
    <w:rsid w:val="00910FDF"/>
    <w:rsid w:val="0091110B"/>
    <w:rsid w:val="009161EB"/>
    <w:rsid w:val="00920C97"/>
    <w:rsid w:val="00922E89"/>
    <w:rsid w:val="00923FFA"/>
    <w:rsid w:val="009240AC"/>
    <w:rsid w:val="009263B4"/>
    <w:rsid w:val="00933298"/>
    <w:rsid w:val="009364AF"/>
    <w:rsid w:val="00943DA0"/>
    <w:rsid w:val="00945965"/>
    <w:rsid w:val="009503EA"/>
    <w:rsid w:val="0095088B"/>
    <w:rsid w:val="0095238C"/>
    <w:rsid w:val="009542D4"/>
    <w:rsid w:val="00954CB0"/>
    <w:rsid w:val="00954E73"/>
    <w:rsid w:val="009563DA"/>
    <w:rsid w:val="00962139"/>
    <w:rsid w:val="00964DE9"/>
    <w:rsid w:val="00965A02"/>
    <w:rsid w:val="00965D4A"/>
    <w:rsid w:val="009660E2"/>
    <w:rsid w:val="0096699C"/>
    <w:rsid w:val="00966FD7"/>
    <w:rsid w:val="00967594"/>
    <w:rsid w:val="00970877"/>
    <w:rsid w:val="009712AD"/>
    <w:rsid w:val="00977DED"/>
    <w:rsid w:val="00977F85"/>
    <w:rsid w:val="00984A53"/>
    <w:rsid w:val="00984C42"/>
    <w:rsid w:val="00984CBE"/>
    <w:rsid w:val="0098587A"/>
    <w:rsid w:val="0099777D"/>
    <w:rsid w:val="009A0A02"/>
    <w:rsid w:val="009A28FF"/>
    <w:rsid w:val="009A38E7"/>
    <w:rsid w:val="009A3F82"/>
    <w:rsid w:val="009A4ADA"/>
    <w:rsid w:val="009A6C78"/>
    <w:rsid w:val="009A712F"/>
    <w:rsid w:val="009A7B44"/>
    <w:rsid w:val="009B0E56"/>
    <w:rsid w:val="009B1EF9"/>
    <w:rsid w:val="009B3744"/>
    <w:rsid w:val="009B38FE"/>
    <w:rsid w:val="009B4430"/>
    <w:rsid w:val="009B521C"/>
    <w:rsid w:val="009B59B9"/>
    <w:rsid w:val="009B5EB9"/>
    <w:rsid w:val="009B7D6C"/>
    <w:rsid w:val="009C0787"/>
    <w:rsid w:val="009C45C6"/>
    <w:rsid w:val="009C45E4"/>
    <w:rsid w:val="009C5115"/>
    <w:rsid w:val="009C6BE9"/>
    <w:rsid w:val="009C6D08"/>
    <w:rsid w:val="009D3F72"/>
    <w:rsid w:val="009D6EEC"/>
    <w:rsid w:val="009E0115"/>
    <w:rsid w:val="009E7F53"/>
    <w:rsid w:val="009F0178"/>
    <w:rsid w:val="009F1987"/>
    <w:rsid w:val="009F427F"/>
    <w:rsid w:val="009F4891"/>
    <w:rsid w:val="009F5256"/>
    <w:rsid w:val="00A04BA1"/>
    <w:rsid w:val="00A05685"/>
    <w:rsid w:val="00A05FAD"/>
    <w:rsid w:val="00A108B0"/>
    <w:rsid w:val="00A13DB3"/>
    <w:rsid w:val="00A14439"/>
    <w:rsid w:val="00A15844"/>
    <w:rsid w:val="00A212B0"/>
    <w:rsid w:val="00A21753"/>
    <w:rsid w:val="00A250BD"/>
    <w:rsid w:val="00A25407"/>
    <w:rsid w:val="00A26CFE"/>
    <w:rsid w:val="00A27D4C"/>
    <w:rsid w:val="00A33B97"/>
    <w:rsid w:val="00A34CC7"/>
    <w:rsid w:val="00A34CF5"/>
    <w:rsid w:val="00A35E22"/>
    <w:rsid w:val="00A40676"/>
    <w:rsid w:val="00A410F7"/>
    <w:rsid w:val="00A42320"/>
    <w:rsid w:val="00A514E7"/>
    <w:rsid w:val="00A569EC"/>
    <w:rsid w:val="00A613E2"/>
    <w:rsid w:val="00A61AFA"/>
    <w:rsid w:val="00A62313"/>
    <w:rsid w:val="00A62371"/>
    <w:rsid w:val="00A706EC"/>
    <w:rsid w:val="00A732D1"/>
    <w:rsid w:val="00A7727C"/>
    <w:rsid w:val="00A848E4"/>
    <w:rsid w:val="00A86B78"/>
    <w:rsid w:val="00A90732"/>
    <w:rsid w:val="00A91298"/>
    <w:rsid w:val="00A969B5"/>
    <w:rsid w:val="00A976EA"/>
    <w:rsid w:val="00AA05DF"/>
    <w:rsid w:val="00AA09C1"/>
    <w:rsid w:val="00AA0FF0"/>
    <w:rsid w:val="00AA20A0"/>
    <w:rsid w:val="00AB1B24"/>
    <w:rsid w:val="00AB2B11"/>
    <w:rsid w:val="00AB516A"/>
    <w:rsid w:val="00AB6F4F"/>
    <w:rsid w:val="00AB79F2"/>
    <w:rsid w:val="00AB7B27"/>
    <w:rsid w:val="00AC1568"/>
    <w:rsid w:val="00AC1DAF"/>
    <w:rsid w:val="00AC2B25"/>
    <w:rsid w:val="00AC31D2"/>
    <w:rsid w:val="00AC33E7"/>
    <w:rsid w:val="00AC36CC"/>
    <w:rsid w:val="00AC3FC7"/>
    <w:rsid w:val="00AC40F0"/>
    <w:rsid w:val="00AC67F8"/>
    <w:rsid w:val="00AC75B5"/>
    <w:rsid w:val="00AD1289"/>
    <w:rsid w:val="00AD1E3E"/>
    <w:rsid w:val="00AE024B"/>
    <w:rsid w:val="00AE0F14"/>
    <w:rsid w:val="00AE1D17"/>
    <w:rsid w:val="00AE2E62"/>
    <w:rsid w:val="00AE45B6"/>
    <w:rsid w:val="00AE4A37"/>
    <w:rsid w:val="00AE583A"/>
    <w:rsid w:val="00AE6FC0"/>
    <w:rsid w:val="00AF082E"/>
    <w:rsid w:val="00AF2062"/>
    <w:rsid w:val="00AF331F"/>
    <w:rsid w:val="00AF45FB"/>
    <w:rsid w:val="00AF4DD7"/>
    <w:rsid w:val="00AF7185"/>
    <w:rsid w:val="00AF7AED"/>
    <w:rsid w:val="00B00CAF"/>
    <w:rsid w:val="00B01FF1"/>
    <w:rsid w:val="00B03790"/>
    <w:rsid w:val="00B05137"/>
    <w:rsid w:val="00B06E94"/>
    <w:rsid w:val="00B07683"/>
    <w:rsid w:val="00B0782D"/>
    <w:rsid w:val="00B12E47"/>
    <w:rsid w:val="00B14FBE"/>
    <w:rsid w:val="00B24199"/>
    <w:rsid w:val="00B27C94"/>
    <w:rsid w:val="00B27CFC"/>
    <w:rsid w:val="00B3020F"/>
    <w:rsid w:val="00B30761"/>
    <w:rsid w:val="00B30A45"/>
    <w:rsid w:val="00B3116A"/>
    <w:rsid w:val="00B313B0"/>
    <w:rsid w:val="00B31C12"/>
    <w:rsid w:val="00B35DA7"/>
    <w:rsid w:val="00B36F21"/>
    <w:rsid w:val="00B40B2B"/>
    <w:rsid w:val="00B40CDE"/>
    <w:rsid w:val="00B42EB4"/>
    <w:rsid w:val="00B45556"/>
    <w:rsid w:val="00B46496"/>
    <w:rsid w:val="00B50136"/>
    <w:rsid w:val="00B50A74"/>
    <w:rsid w:val="00B51831"/>
    <w:rsid w:val="00B5272C"/>
    <w:rsid w:val="00B53032"/>
    <w:rsid w:val="00B54B2F"/>
    <w:rsid w:val="00B552B3"/>
    <w:rsid w:val="00B64875"/>
    <w:rsid w:val="00B65E23"/>
    <w:rsid w:val="00B71C4A"/>
    <w:rsid w:val="00B723FF"/>
    <w:rsid w:val="00B72AB8"/>
    <w:rsid w:val="00B73023"/>
    <w:rsid w:val="00B74559"/>
    <w:rsid w:val="00B7567A"/>
    <w:rsid w:val="00B85B53"/>
    <w:rsid w:val="00B85BE8"/>
    <w:rsid w:val="00B870D9"/>
    <w:rsid w:val="00B9258C"/>
    <w:rsid w:val="00B927BC"/>
    <w:rsid w:val="00BA034E"/>
    <w:rsid w:val="00BA22DF"/>
    <w:rsid w:val="00BA2A40"/>
    <w:rsid w:val="00BA47C4"/>
    <w:rsid w:val="00BA5B8B"/>
    <w:rsid w:val="00BA6F1F"/>
    <w:rsid w:val="00BA7E42"/>
    <w:rsid w:val="00BB070E"/>
    <w:rsid w:val="00BB09FF"/>
    <w:rsid w:val="00BB1831"/>
    <w:rsid w:val="00BB544E"/>
    <w:rsid w:val="00BB5F30"/>
    <w:rsid w:val="00BB7C0E"/>
    <w:rsid w:val="00BC070E"/>
    <w:rsid w:val="00BC0DD5"/>
    <w:rsid w:val="00BC66AF"/>
    <w:rsid w:val="00BC6AB1"/>
    <w:rsid w:val="00BD19AF"/>
    <w:rsid w:val="00BD222D"/>
    <w:rsid w:val="00BD387E"/>
    <w:rsid w:val="00BD7FB6"/>
    <w:rsid w:val="00BE3818"/>
    <w:rsid w:val="00BE4200"/>
    <w:rsid w:val="00BE4FB8"/>
    <w:rsid w:val="00BF0185"/>
    <w:rsid w:val="00BF35B6"/>
    <w:rsid w:val="00BF436A"/>
    <w:rsid w:val="00BF597D"/>
    <w:rsid w:val="00BF7CE9"/>
    <w:rsid w:val="00C00DA3"/>
    <w:rsid w:val="00C01537"/>
    <w:rsid w:val="00C03ECF"/>
    <w:rsid w:val="00C06453"/>
    <w:rsid w:val="00C073B3"/>
    <w:rsid w:val="00C07FA7"/>
    <w:rsid w:val="00C107C7"/>
    <w:rsid w:val="00C12719"/>
    <w:rsid w:val="00C12F8A"/>
    <w:rsid w:val="00C13C96"/>
    <w:rsid w:val="00C13EEE"/>
    <w:rsid w:val="00C163C6"/>
    <w:rsid w:val="00C21596"/>
    <w:rsid w:val="00C21A23"/>
    <w:rsid w:val="00C2690A"/>
    <w:rsid w:val="00C278B0"/>
    <w:rsid w:val="00C27BA7"/>
    <w:rsid w:val="00C27F02"/>
    <w:rsid w:val="00C300EA"/>
    <w:rsid w:val="00C31374"/>
    <w:rsid w:val="00C3165E"/>
    <w:rsid w:val="00C33DE0"/>
    <w:rsid w:val="00C342F1"/>
    <w:rsid w:val="00C35030"/>
    <w:rsid w:val="00C36108"/>
    <w:rsid w:val="00C4073D"/>
    <w:rsid w:val="00C4122F"/>
    <w:rsid w:val="00C43620"/>
    <w:rsid w:val="00C4532E"/>
    <w:rsid w:val="00C4679B"/>
    <w:rsid w:val="00C46D19"/>
    <w:rsid w:val="00C50315"/>
    <w:rsid w:val="00C515BF"/>
    <w:rsid w:val="00C535F8"/>
    <w:rsid w:val="00C539D9"/>
    <w:rsid w:val="00C53F04"/>
    <w:rsid w:val="00C54C32"/>
    <w:rsid w:val="00C54DCD"/>
    <w:rsid w:val="00C56716"/>
    <w:rsid w:val="00C57859"/>
    <w:rsid w:val="00C63B4C"/>
    <w:rsid w:val="00C667A1"/>
    <w:rsid w:val="00C71FC1"/>
    <w:rsid w:val="00C73BA2"/>
    <w:rsid w:val="00C74E18"/>
    <w:rsid w:val="00C774B9"/>
    <w:rsid w:val="00C77A2C"/>
    <w:rsid w:val="00C8258D"/>
    <w:rsid w:val="00C85442"/>
    <w:rsid w:val="00C854D2"/>
    <w:rsid w:val="00C8588C"/>
    <w:rsid w:val="00C859B0"/>
    <w:rsid w:val="00C900DB"/>
    <w:rsid w:val="00C9010E"/>
    <w:rsid w:val="00C90177"/>
    <w:rsid w:val="00C915AD"/>
    <w:rsid w:val="00C9295E"/>
    <w:rsid w:val="00C94C86"/>
    <w:rsid w:val="00C963A5"/>
    <w:rsid w:val="00CA1599"/>
    <w:rsid w:val="00CA262F"/>
    <w:rsid w:val="00CA3A14"/>
    <w:rsid w:val="00CA5600"/>
    <w:rsid w:val="00CB0922"/>
    <w:rsid w:val="00CB19A7"/>
    <w:rsid w:val="00CB7A82"/>
    <w:rsid w:val="00CC195C"/>
    <w:rsid w:val="00CC1A16"/>
    <w:rsid w:val="00CC58CA"/>
    <w:rsid w:val="00CC68D9"/>
    <w:rsid w:val="00CC7B71"/>
    <w:rsid w:val="00CD2D61"/>
    <w:rsid w:val="00CD447E"/>
    <w:rsid w:val="00CD44AC"/>
    <w:rsid w:val="00CE0AC5"/>
    <w:rsid w:val="00CE1B36"/>
    <w:rsid w:val="00CE1C76"/>
    <w:rsid w:val="00CE2428"/>
    <w:rsid w:val="00CE4BF2"/>
    <w:rsid w:val="00CE4F0C"/>
    <w:rsid w:val="00CE6C66"/>
    <w:rsid w:val="00CF0C2A"/>
    <w:rsid w:val="00CF1B97"/>
    <w:rsid w:val="00CF30EE"/>
    <w:rsid w:val="00CF3384"/>
    <w:rsid w:val="00CF76C4"/>
    <w:rsid w:val="00CF7730"/>
    <w:rsid w:val="00D0032D"/>
    <w:rsid w:val="00D0093F"/>
    <w:rsid w:val="00D01B71"/>
    <w:rsid w:val="00D03700"/>
    <w:rsid w:val="00D04081"/>
    <w:rsid w:val="00D0409A"/>
    <w:rsid w:val="00D05465"/>
    <w:rsid w:val="00D0688F"/>
    <w:rsid w:val="00D12F63"/>
    <w:rsid w:val="00D13802"/>
    <w:rsid w:val="00D15E5A"/>
    <w:rsid w:val="00D172F0"/>
    <w:rsid w:val="00D173C0"/>
    <w:rsid w:val="00D17427"/>
    <w:rsid w:val="00D20097"/>
    <w:rsid w:val="00D22E9F"/>
    <w:rsid w:val="00D25378"/>
    <w:rsid w:val="00D25B28"/>
    <w:rsid w:val="00D26FB6"/>
    <w:rsid w:val="00D270A2"/>
    <w:rsid w:val="00D279DC"/>
    <w:rsid w:val="00D36A67"/>
    <w:rsid w:val="00D376C4"/>
    <w:rsid w:val="00D46AB1"/>
    <w:rsid w:val="00D510A0"/>
    <w:rsid w:val="00D51E78"/>
    <w:rsid w:val="00D52AA5"/>
    <w:rsid w:val="00D64502"/>
    <w:rsid w:val="00D65883"/>
    <w:rsid w:val="00D666DE"/>
    <w:rsid w:val="00D67619"/>
    <w:rsid w:val="00D67E80"/>
    <w:rsid w:val="00D706F5"/>
    <w:rsid w:val="00D7385A"/>
    <w:rsid w:val="00D739B9"/>
    <w:rsid w:val="00D74103"/>
    <w:rsid w:val="00D7484E"/>
    <w:rsid w:val="00D7574B"/>
    <w:rsid w:val="00D758BB"/>
    <w:rsid w:val="00D75A37"/>
    <w:rsid w:val="00D767B4"/>
    <w:rsid w:val="00D77018"/>
    <w:rsid w:val="00D80408"/>
    <w:rsid w:val="00D80CA1"/>
    <w:rsid w:val="00D82F42"/>
    <w:rsid w:val="00D83C10"/>
    <w:rsid w:val="00D84D22"/>
    <w:rsid w:val="00D85611"/>
    <w:rsid w:val="00D95337"/>
    <w:rsid w:val="00D95EA2"/>
    <w:rsid w:val="00D97418"/>
    <w:rsid w:val="00D974EB"/>
    <w:rsid w:val="00D97D83"/>
    <w:rsid w:val="00D97D8C"/>
    <w:rsid w:val="00DA1332"/>
    <w:rsid w:val="00DA2782"/>
    <w:rsid w:val="00DA4308"/>
    <w:rsid w:val="00DA675F"/>
    <w:rsid w:val="00DB1EC5"/>
    <w:rsid w:val="00DB1FD9"/>
    <w:rsid w:val="00DB29AD"/>
    <w:rsid w:val="00DB3138"/>
    <w:rsid w:val="00DB3AFC"/>
    <w:rsid w:val="00DB55F0"/>
    <w:rsid w:val="00DB6037"/>
    <w:rsid w:val="00DB6FC6"/>
    <w:rsid w:val="00DC126B"/>
    <w:rsid w:val="00DC1592"/>
    <w:rsid w:val="00DC28AC"/>
    <w:rsid w:val="00DC3324"/>
    <w:rsid w:val="00DC5A8A"/>
    <w:rsid w:val="00DC5B41"/>
    <w:rsid w:val="00DC66C1"/>
    <w:rsid w:val="00DD18DA"/>
    <w:rsid w:val="00DD2D20"/>
    <w:rsid w:val="00DD32A4"/>
    <w:rsid w:val="00DD6710"/>
    <w:rsid w:val="00DE116A"/>
    <w:rsid w:val="00DE3C56"/>
    <w:rsid w:val="00DE5668"/>
    <w:rsid w:val="00DE70F2"/>
    <w:rsid w:val="00DE7236"/>
    <w:rsid w:val="00DF0A42"/>
    <w:rsid w:val="00DF1509"/>
    <w:rsid w:val="00DF30AB"/>
    <w:rsid w:val="00E01447"/>
    <w:rsid w:val="00E02D57"/>
    <w:rsid w:val="00E03CE8"/>
    <w:rsid w:val="00E04526"/>
    <w:rsid w:val="00E10178"/>
    <w:rsid w:val="00E1115D"/>
    <w:rsid w:val="00E11BE8"/>
    <w:rsid w:val="00E14B5D"/>
    <w:rsid w:val="00E16826"/>
    <w:rsid w:val="00E200E9"/>
    <w:rsid w:val="00E20877"/>
    <w:rsid w:val="00E21D8B"/>
    <w:rsid w:val="00E21F39"/>
    <w:rsid w:val="00E22EEE"/>
    <w:rsid w:val="00E23203"/>
    <w:rsid w:val="00E23856"/>
    <w:rsid w:val="00E25CA3"/>
    <w:rsid w:val="00E268A5"/>
    <w:rsid w:val="00E30422"/>
    <w:rsid w:val="00E31920"/>
    <w:rsid w:val="00E339FC"/>
    <w:rsid w:val="00E3577E"/>
    <w:rsid w:val="00E37723"/>
    <w:rsid w:val="00E41FE0"/>
    <w:rsid w:val="00E446E6"/>
    <w:rsid w:val="00E46F46"/>
    <w:rsid w:val="00E47482"/>
    <w:rsid w:val="00E55EF7"/>
    <w:rsid w:val="00E6143C"/>
    <w:rsid w:val="00E61E9C"/>
    <w:rsid w:val="00E61FAA"/>
    <w:rsid w:val="00E62B82"/>
    <w:rsid w:val="00E62B9C"/>
    <w:rsid w:val="00E64938"/>
    <w:rsid w:val="00E6510B"/>
    <w:rsid w:val="00E6744D"/>
    <w:rsid w:val="00E71CDE"/>
    <w:rsid w:val="00E71EAE"/>
    <w:rsid w:val="00E72F4A"/>
    <w:rsid w:val="00E73F39"/>
    <w:rsid w:val="00E74CC9"/>
    <w:rsid w:val="00E82B2E"/>
    <w:rsid w:val="00E857A0"/>
    <w:rsid w:val="00E92E5D"/>
    <w:rsid w:val="00E93813"/>
    <w:rsid w:val="00E946CB"/>
    <w:rsid w:val="00E94ECF"/>
    <w:rsid w:val="00E965D9"/>
    <w:rsid w:val="00EA146E"/>
    <w:rsid w:val="00EA454C"/>
    <w:rsid w:val="00EA47C0"/>
    <w:rsid w:val="00EA5FCB"/>
    <w:rsid w:val="00EA6602"/>
    <w:rsid w:val="00EA6CE8"/>
    <w:rsid w:val="00EA7303"/>
    <w:rsid w:val="00EB095C"/>
    <w:rsid w:val="00EB0A40"/>
    <w:rsid w:val="00EB1DBE"/>
    <w:rsid w:val="00EB2393"/>
    <w:rsid w:val="00EB271D"/>
    <w:rsid w:val="00EB4946"/>
    <w:rsid w:val="00EB5F74"/>
    <w:rsid w:val="00EC0D9D"/>
    <w:rsid w:val="00EC2C08"/>
    <w:rsid w:val="00EC4C81"/>
    <w:rsid w:val="00ED06FC"/>
    <w:rsid w:val="00ED1035"/>
    <w:rsid w:val="00ED2152"/>
    <w:rsid w:val="00ED2A3A"/>
    <w:rsid w:val="00ED442A"/>
    <w:rsid w:val="00ED4BE6"/>
    <w:rsid w:val="00ED4D71"/>
    <w:rsid w:val="00ED55EB"/>
    <w:rsid w:val="00ED5DA9"/>
    <w:rsid w:val="00ED6CD0"/>
    <w:rsid w:val="00EE1F64"/>
    <w:rsid w:val="00EE3E38"/>
    <w:rsid w:val="00EE4020"/>
    <w:rsid w:val="00EE7C7C"/>
    <w:rsid w:val="00EE7E9E"/>
    <w:rsid w:val="00EF0769"/>
    <w:rsid w:val="00EF272B"/>
    <w:rsid w:val="00EF2B58"/>
    <w:rsid w:val="00EF2C38"/>
    <w:rsid w:val="00EF4A39"/>
    <w:rsid w:val="00EF5F08"/>
    <w:rsid w:val="00EF6225"/>
    <w:rsid w:val="00F00BA2"/>
    <w:rsid w:val="00F02119"/>
    <w:rsid w:val="00F065F7"/>
    <w:rsid w:val="00F06711"/>
    <w:rsid w:val="00F07F17"/>
    <w:rsid w:val="00F11262"/>
    <w:rsid w:val="00F129E9"/>
    <w:rsid w:val="00F13ADD"/>
    <w:rsid w:val="00F15899"/>
    <w:rsid w:val="00F15A88"/>
    <w:rsid w:val="00F21C29"/>
    <w:rsid w:val="00F220F5"/>
    <w:rsid w:val="00F22F8A"/>
    <w:rsid w:val="00F241E0"/>
    <w:rsid w:val="00F26F12"/>
    <w:rsid w:val="00F30094"/>
    <w:rsid w:val="00F35691"/>
    <w:rsid w:val="00F361B8"/>
    <w:rsid w:val="00F36325"/>
    <w:rsid w:val="00F36E48"/>
    <w:rsid w:val="00F37624"/>
    <w:rsid w:val="00F37F7F"/>
    <w:rsid w:val="00F43FBB"/>
    <w:rsid w:val="00F44385"/>
    <w:rsid w:val="00F4492D"/>
    <w:rsid w:val="00F44E42"/>
    <w:rsid w:val="00F45372"/>
    <w:rsid w:val="00F45806"/>
    <w:rsid w:val="00F46CE2"/>
    <w:rsid w:val="00F51E9E"/>
    <w:rsid w:val="00F53F28"/>
    <w:rsid w:val="00F558CF"/>
    <w:rsid w:val="00F55C62"/>
    <w:rsid w:val="00F62F11"/>
    <w:rsid w:val="00F63D77"/>
    <w:rsid w:val="00F657DD"/>
    <w:rsid w:val="00F6701F"/>
    <w:rsid w:val="00F67922"/>
    <w:rsid w:val="00F72F4E"/>
    <w:rsid w:val="00F738DA"/>
    <w:rsid w:val="00F7464F"/>
    <w:rsid w:val="00F76C4D"/>
    <w:rsid w:val="00F808ED"/>
    <w:rsid w:val="00F80F2C"/>
    <w:rsid w:val="00F811A1"/>
    <w:rsid w:val="00F82897"/>
    <w:rsid w:val="00F82B32"/>
    <w:rsid w:val="00F836EC"/>
    <w:rsid w:val="00F94259"/>
    <w:rsid w:val="00F948D0"/>
    <w:rsid w:val="00F94C1B"/>
    <w:rsid w:val="00F9593E"/>
    <w:rsid w:val="00F96D51"/>
    <w:rsid w:val="00FA30D5"/>
    <w:rsid w:val="00FA5209"/>
    <w:rsid w:val="00FB091F"/>
    <w:rsid w:val="00FB2566"/>
    <w:rsid w:val="00FC12B1"/>
    <w:rsid w:val="00FC5FD8"/>
    <w:rsid w:val="00FC6F6E"/>
    <w:rsid w:val="00FD080F"/>
    <w:rsid w:val="00FD1251"/>
    <w:rsid w:val="00FD23DE"/>
    <w:rsid w:val="00FD4706"/>
    <w:rsid w:val="00FE0C0F"/>
    <w:rsid w:val="00FE2555"/>
    <w:rsid w:val="00FE2D57"/>
    <w:rsid w:val="00FE357B"/>
    <w:rsid w:val="00FE35A5"/>
    <w:rsid w:val="00FE3B92"/>
    <w:rsid w:val="00FE62F3"/>
    <w:rsid w:val="00FE694A"/>
    <w:rsid w:val="00FE6C9A"/>
    <w:rsid w:val="00FF1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3A1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sid w:val="00D739B9"/>
  </w:style>
  <w:style w:type="paragraph" w:styleId="BalloonText">
    <w:name w:val="Balloon Text"/>
    <w:basedOn w:val="Normal"/>
    <w:semiHidden/>
    <w:rsid w:val="0020631E"/>
    <w:rPr>
      <w:rFonts w:ascii="Tahoma" w:hAnsi="Tahoma" w:cs="Tahoma"/>
      <w:sz w:val="16"/>
      <w:szCs w:val="16"/>
    </w:rPr>
  </w:style>
  <w:style w:type="character" w:styleId="CommentReference">
    <w:name w:val="annotation reference"/>
    <w:basedOn w:val="DefaultParagraphFont"/>
    <w:rsid w:val="0020631E"/>
    <w:rPr>
      <w:sz w:val="16"/>
      <w:szCs w:val="16"/>
    </w:rPr>
  </w:style>
  <w:style w:type="paragraph" w:styleId="CommentText">
    <w:name w:val="annotation text"/>
    <w:basedOn w:val="Normal"/>
    <w:link w:val="CommentTextChar"/>
    <w:rsid w:val="0020631E"/>
    <w:rPr>
      <w:sz w:val="20"/>
      <w:szCs w:val="20"/>
    </w:rPr>
  </w:style>
  <w:style w:type="paragraph" w:styleId="CommentSubject">
    <w:name w:val="annotation subject"/>
    <w:basedOn w:val="CommentText"/>
    <w:next w:val="CommentText"/>
    <w:semiHidden/>
    <w:rsid w:val="0020631E"/>
    <w:rPr>
      <w:b/>
      <w:bCs/>
    </w:rPr>
  </w:style>
  <w:style w:type="paragraph" w:styleId="Footer">
    <w:name w:val="footer"/>
    <w:basedOn w:val="Normal"/>
    <w:rsid w:val="00EF2C38"/>
    <w:pPr>
      <w:tabs>
        <w:tab w:val="center" w:pos="4320"/>
        <w:tab w:val="right" w:pos="8640"/>
      </w:tabs>
    </w:pPr>
  </w:style>
  <w:style w:type="character" w:styleId="PageNumber">
    <w:name w:val="page number"/>
    <w:basedOn w:val="DefaultParagraphFont"/>
    <w:rsid w:val="00EF2C38"/>
  </w:style>
  <w:style w:type="paragraph" w:styleId="Header">
    <w:name w:val="header"/>
    <w:basedOn w:val="Normal"/>
    <w:link w:val="HeaderChar"/>
    <w:rsid w:val="007F587D"/>
    <w:pPr>
      <w:tabs>
        <w:tab w:val="center" w:pos="4680"/>
        <w:tab w:val="right" w:pos="9360"/>
      </w:tabs>
    </w:pPr>
  </w:style>
  <w:style w:type="character" w:customStyle="1" w:styleId="HeaderChar">
    <w:name w:val="Header Char"/>
    <w:basedOn w:val="DefaultParagraphFont"/>
    <w:link w:val="Header"/>
    <w:rsid w:val="007F587D"/>
    <w:rPr>
      <w:sz w:val="24"/>
      <w:szCs w:val="24"/>
    </w:rPr>
  </w:style>
  <w:style w:type="character" w:styleId="Hyperlink">
    <w:name w:val="Hyperlink"/>
    <w:basedOn w:val="DefaultParagraphFont"/>
    <w:uiPriority w:val="99"/>
    <w:unhideWhenUsed/>
    <w:rsid w:val="009B59B9"/>
    <w:rPr>
      <w:b/>
      <w:bCs/>
      <w:strike w:val="0"/>
      <w:dstrike w:val="0"/>
      <w:color w:val="355184"/>
      <w:u w:val="none"/>
      <w:effect w:val="none"/>
    </w:rPr>
  </w:style>
  <w:style w:type="paragraph" w:styleId="ListParagraph">
    <w:name w:val="List Paragraph"/>
    <w:basedOn w:val="Normal"/>
    <w:uiPriority w:val="34"/>
    <w:qFormat/>
    <w:rsid w:val="001C61FE"/>
    <w:pPr>
      <w:spacing w:after="200" w:line="276" w:lineRule="auto"/>
      <w:ind w:left="720"/>
      <w:contextualSpacing/>
    </w:pPr>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rsid w:val="00661B37"/>
  </w:style>
  <w:style w:type="paragraph" w:styleId="NormalWeb">
    <w:name w:val="Normal (Web)"/>
    <w:basedOn w:val="Normal"/>
    <w:uiPriority w:val="99"/>
    <w:unhideWhenUsed/>
    <w:rsid w:val="003C1766"/>
    <w:rPr>
      <w:rFonts w:eastAsiaTheme="minorHAnsi"/>
    </w:rPr>
  </w:style>
  <w:style w:type="character" w:styleId="Strong">
    <w:name w:val="Strong"/>
    <w:basedOn w:val="DefaultParagraphFont"/>
    <w:uiPriority w:val="22"/>
    <w:qFormat/>
    <w:rsid w:val="00DC3324"/>
    <w:rPr>
      <w:b/>
      <w:bCs/>
    </w:rPr>
  </w:style>
  <w:style w:type="character" w:customStyle="1" w:styleId="apple-converted-space">
    <w:name w:val="apple-converted-space"/>
    <w:basedOn w:val="DefaultParagraphFont"/>
    <w:rsid w:val="00B54B2F"/>
  </w:style>
  <w:style w:type="character" w:styleId="Emphasis">
    <w:name w:val="Emphasis"/>
    <w:basedOn w:val="DefaultParagraphFont"/>
    <w:uiPriority w:val="20"/>
    <w:qFormat/>
    <w:rsid w:val="00B54B2F"/>
    <w:rPr>
      <w:i/>
      <w:iCs/>
    </w:rPr>
  </w:style>
  <w:style w:type="paragraph" w:styleId="NoSpacing">
    <w:name w:val="No Spacing"/>
    <w:uiPriority w:val="1"/>
    <w:qFormat/>
    <w:rsid w:val="00882A64"/>
    <w:rPr>
      <w:rFonts w:asciiTheme="minorHAnsi" w:eastAsiaTheme="minorHAnsi" w:hAnsiTheme="minorHAnsi" w:cstheme="minorBidi"/>
      <w:sz w:val="22"/>
      <w:szCs w:val="22"/>
    </w:rPr>
  </w:style>
  <w:style w:type="table" w:styleId="TableGrid">
    <w:name w:val="Table Grid"/>
    <w:basedOn w:val="TableNormal"/>
    <w:uiPriority w:val="59"/>
    <w:rsid w:val="00FA30D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4067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236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8153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3A1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rsid w:val="00D739B9"/>
  </w:style>
  <w:style w:type="paragraph" w:styleId="BalloonText">
    <w:name w:val="Balloon Text"/>
    <w:basedOn w:val="Normal"/>
    <w:semiHidden/>
    <w:rsid w:val="0020631E"/>
    <w:rPr>
      <w:rFonts w:ascii="Tahoma" w:hAnsi="Tahoma" w:cs="Tahoma"/>
      <w:sz w:val="16"/>
      <w:szCs w:val="16"/>
    </w:rPr>
  </w:style>
  <w:style w:type="character" w:styleId="CommentReference">
    <w:name w:val="annotation reference"/>
    <w:basedOn w:val="DefaultParagraphFont"/>
    <w:rsid w:val="0020631E"/>
    <w:rPr>
      <w:sz w:val="16"/>
      <w:szCs w:val="16"/>
    </w:rPr>
  </w:style>
  <w:style w:type="paragraph" w:styleId="CommentText">
    <w:name w:val="annotation text"/>
    <w:basedOn w:val="Normal"/>
    <w:link w:val="CommentTextChar"/>
    <w:rsid w:val="0020631E"/>
    <w:rPr>
      <w:sz w:val="20"/>
      <w:szCs w:val="20"/>
    </w:rPr>
  </w:style>
  <w:style w:type="paragraph" w:styleId="CommentSubject">
    <w:name w:val="annotation subject"/>
    <w:basedOn w:val="CommentText"/>
    <w:next w:val="CommentText"/>
    <w:semiHidden/>
    <w:rsid w:val="0020631E"/>
    <w:rPr>
      <w:b/>
      <w:bCs/>
    </w:rPr>
  </w:style>
  <w:style w:type="paragraph" w:styleId="Footer">
    <w:name w:val="footer"/>
    <w:basedOn w:val="Normal"/>
    <w:rsid w:val="00EF2C38"/>
    <w:pPr>
      <w:tabs>
        <w:tab w:val="center" w:pos="4320"/>
        <w:tab w:val="right" w:pos="8640"/>
      </w:tabs>
    </w:pPr>
  </w:style>
  <w:style w:type="character" w:styleId="PageNumber">
    <w:name w:val="page number"/>
    <w:basedOn w:val="DefaultParagraphFont"/>
    <w:rsid w:val="00EF2C38"/>
  </w:style>
  <w:style w:type="paragraph" w:styleId="Header">
    <w:name w:val="header"/>
    <w:basedOn w:val="Normal"/>
    <w:link w:val="HeaderChar"/>
    <w:rsid w:val="007F587D"/>
    <w:pPr>
      <w:tabs>
        <w:tab w:val="center" w:pos="4680"/>
        <w:tab w:val="right" w:pos="9360"/>
      </w:tabs>
    </w:pPr>
  </w:style>
  <w:style w:type="character" w:customStyle="1" w:styleId="HeaderChar">
    <w:name w:val="Header Char"/>
    <w:basedOn w:val="DefaultParagraphFont"/>
    <w:link w:val="Header"/>
    <w:rsid w:val="007F587D"/>
    <w:rPr>
      <w:sz w:val="24"/>
      <w:szCs w:val="24"/>
    </w:rPr>
  </w:style>
  <w:style w:type="character" w:styleId="Hyperlink">
    <w:name w:val="Hyperlink"/>
    <w:basedOn w:val="DefaultParagraphFont"/>
    <w:uiPriority w:val="99"/>
    <w:unhideWhenUsed/>
    <w:rsid w:val="009B59B9"/>
    <w:rPr>
      <w:b/>
      <w:bCs/>
      <w:strike w:val="0"/>
      <w:dstrike w:val="0"/>
      <w:color w:val="355184"/>
      <w:u w:val="none"/>
      <w:effect w:val="none"/>
    </w:rPr>
  </w:style>
  <w:style w:type="paragraph" w:styleId="ListParagraph">
    <w:name w:val="List Paragraph"/>
    <w:basedOn w:val="Normal"/>
    <w:uiPriority w:val="34"/>
    <w:qFormat/>
    <w:rsid w:val="001C61FE"/>
    <w:pPr>
      <w:spacing w:after="200" w:line="276" w:lineRule="auto"/>
      <w:ind w:left="720"/>
      <w:contextualSpacing/>
    </w:pPr>
    <w:rPr>
      <w:rFonts w:asciiTheme="minorHAnsi" w:eastAsiaTheme="minorHAnsi" w:hAnsiTheme="minorHAnsi" w:cstheme="minorBidi"/>
      <w:sz w:val="22"/>
      <w:szCs w:val="22"/>
    </w:rPr>
  </w:style>
  <w:style w:type="character" w:customStyle="1" w:styleId="CommentTextChar">
    <w:name w:val="Comment Text Char"/>
    <w:basedOn w:val="DefaultParagraphFont"/>
    <w:link w:val="CommentText"/>
    <w:rsid w:val="00661B37"/>
  </w:style>
  <w:style w:type="paragraph" w:styleId="NormalWeb">
    <w:name w:val="Normal (Web)"/>
    <w:basedOn w:val="Normal"/>
    <w:uiPriority w:val="99"/>
    <w:unhideWhenUsed/>
    <w:rsid w:val="003C1766"/>
    <w:rPr>
      <w:rFonts w:eastAsiaTheme="minorHAnsi"/>
    </w:rPr>
  </w:style>
  <w:style w:type="character" w:styleId="Strong">
    <w:name w:val="Strong"/>
    <w:basedOn w:val="DefaultParagraphFont"/>
    <w:uiPriority w:val="22"/>
    <w:qFormat/>
    <w:rsid w:val="00DC3324"/>
    <w:rPr>
      <w:b/>
      <w:bCs/>
    </w:rPr>
  </w:style>
  <w:style w:type="character" w:customStyle="1" w:styleId="apple-converted-space">
    <w:name w:val="apple-converted-space"/>
    <w:basedOn w:val="DefaultParagraphFont"/>
    <w:rsid w:val="00B54B2F"/>
  </w:style>
  <w:style w:type="character" w:styleId="Emphasis">
    <w:name w:val="Emphasis"/>
    <w:basedOn w:val="DefaultParagraphFont"/>
    <w:uiPriority w:val="20"/>
    <w:qFormat/>
    <w:rsid w:val="00B54B2F"/>
    <w:rPr>
      <w:i/>
      <w:iCs/>
    </w:rPr>
  </w:style>
  <w:style w:type="paragraph" w:styleId="NoSpacing">
    <w:name w:val="No Spacing"/>
    <w:uiPriority w:val="1"/>
    <w:qFormat/>
    <w:rsid w:val="00882A64"/>
    <w:rPr>
      <w:rFonts w:asciiTheme="minorHAnsi" w:eastAsiaTheme="minorHAnsi" w:hAnsiTheme="minorHAnsi" w:cstheme="minorBidi"/>
      <w:sz w:val="22"/>
      <w:szCs w:val="22"/>
    </w:rPr>
  </w:style>
  <w:style w:type="table" w:styleId="TableGrid">
    <w:name w:val="Table Grid"/>
    <w:basedOn w:val="TableNormal"/>
    <w:uiPriority w:val="59"/>
    <w:rsid w:val="00FA30D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4067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236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8153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968">
      <w:bodyDiv w:val="1"/>
      <w:marLeft w:val="0"/>
      <w:marRight w:val="0"/>
      <w:marTop w:val="0"/>
      <w:marBottom w:val="0"/>
      <w:divBdr>
        <w:top w:val="none" w:sz="0" w:space="0" w:color="auto"/>
        <w:left w:val="none" w:sz="0" w:space="0" w:color="auto"/>
        <w:bottom w:val="none" w:sz="0" w:space="0" w:color="auto"/>
        <w:right w:val="none" w:sz="0" w:space="0" w:color="auto"/>
      </w:divBdr>
    </w:div>
    <w:div w:id="47460902">
      <w:bodyDiv w:val="1"/>
      <w:marLeft w:val="0"/>
      <w:marRight w:val="0"/>
      <w:marTop w:val="0"/>
      <w:marBottom w:val="0"/>
      <w:divBdr>
        <w:top w:val="none" w:sz="0" w:space="0" w:color="auto"/>
        <w:left w:val="none" w:sz="0" w:space="0" w:color="auto"/>
        <w:bottom w:val="none" w:sz="0" w:space="0" w:color="auto"/>
        <w:right w:val="none" w:sz="0" w:space="0" w:color="auto"/>
      </w:divBdr>
    </w:div>
    <w:div w:id="156388060">
      <w:bodyDiv w:val="1"/>
      <w:marLeft w:val="0"/>
      <w:marRight w:val="0"/>
      <w:marTop w:val="0"/>
      <w:marBottom w:val="0"/>
      <w:divBdr>
        <w:top w:val="none" w:sz="0" w:space="0" w:color="auto"/>
        <w:left w:val="none" w:sz="0" w:space="0" w:color="auto"/>
        <w:bottom w:val="none" w:sz="0" w:space="0" w:color="auto"/>
        <w:right w:val="none" w:sz="0" w:space="0" w:color="auto"/>
      </w:divBdr>
    </w:div>
    <w:div w:id="413935475">
      <w:bodyDiv w:val="1"/>
      <w:marLeft w:val="0"/>
      <w:marRight w:val="0"/>
      <w:marTop w:val="0"/>
      <w:marBottom w:val="0"/>
      <w:divBdr>
        <w:top w:val="none" w:sz="0" w:space="0" w:color="auto"/>
        <w:left w:val="none" w:sz="0" w:space="0" w:color="auto"/>
        <w:bottom w:val="none" w:sz="0" w:space="0" w:color="auto"/>
        <w:right w:val="none" w:sz="0" w:space="0" w:color="auto"/>
      </w:divBdr>
    </w:div>
    <w:div w:id="458568123">
      <w:bodyDiv w:val="1"/>
      <w:marLeft w:val="0"/>
      <w:marRight w:val="0"/>
      <w:marTop w:val="0"/>
      <w:marBottom w:val="0"/>
      <w:divBdr>
        <w:top w:val="none" w:sz="0" w:space="0" w:color="auto"/>
        <w:left w:val="none" w:sz="0" w:space="0" w:color="auto"/>
        <w:bottom w:val="none" w:sz="0" w:space="0" w:color="auto"/>
        <w:right w:val="none" w:sz="0" w:space="0" w:color="auto"/>
      </w:divBdr>
    </w:div>
    <w:div w:id="553010845">
      <w:bodyDiv w:val="1"/>
      <w:marLeft w:val="0"/>
      <w:marRight w:val="0"/>
      <w:marTop w:val="0"/>
      <w:marBottom w:val="0"/>
      <w:divBdr>
        <w:top w:val="none" w:sz="0" w:space="0" w:color="auto"/>
        <w:left w:val="none" w:sz="0" w:space="0" w:color="auto"/>
        <w:bottom w:val="none" w:sz="0" w:space="0" w:color="auto"/>
        <w:right w:val="none" w:sz="0" w:space="0" w:color="auto"/>
      </w:divBdr>
    </w:div>
    <w:div w:id="631443477">
      <w:bodyDiv w:val="1"/>
      <w:marLeft w:val="0"/>
      <w:marRight w:val="0"/>
      <w:marTop w:val="0"/>
      <w:marBottom w:val="0"/>
      <w:divBdr>
        <w:top w:val="none" w:sz="0" w:space="0" w:color="auto"/>
        <w:left w:val="none" w:sz="0" w:space="0" w:color="auto"/>
        <w:bottom w:val="none" w:sz="0" w:space="0" w:color="auto"/>
        <w:right w:val="none" w:sz="0" w:space="0" w:color="auto"/>
      </w:divBdr>
    </w:div>
    <w:div w:id="737633191">
      <w:bodyDiv w:val="1"/>
      <w:marLeft w:val="0"/>
      <w:marRight w:val="0"/>
      <w:marTop w:val="0"/>
      <w:marBottom w:val="0"/>
      <w:divBdr>
        <w:top w:val="none" w:sz="0" w:space="0" w:color="auto"/>
        <w:left w:val="none" w:sz="0" w:space="0" w:color="auto"/>
        <w:bottom w:val="none" w:sz="0" w:space="0" w:color="auto"/>
        <w:right w:val="none" w:sz="0" w:space="0" w:color="auto"/>
      </w:divBdr>
    </w:div>
    <w:div w:id="890114642">
      <w:bodyDiv w:val="1"/>
      <w:marLeft w:val="0"/>
      <w:marRight w:val="0"/>
      <w:marTop w:val="0"/>
      <w:marBottom w:val="0"/>
      <w:divBdr>
        <w:top w:val="none" w:sz="0" w:space="0" w:color="auto"/>
        <w:left w:val="none" w:sz="0" w:space="0" w:color="auto"/>
        <w:bottom w:val="none" w:sz="0" w:space="0" w:color="auto"/>
        <w:right w:val="none" w:sz="0" w:space="0" w:color="auto"/>
      </w:divBdr>
    </w:div>
    <w:div w:id="1259025870">
      <w:bodyDiv w:val="1"/>
      <w:marLeft w:val="0"/>
      <w:marRight w:val="0"/>
      <w:marTop w:val="0"/>
      <w:marBottom w:val="0"/>
      <w:divBdr>
        <w:top w:val="none" w:sz="0" w:space="0" w:color="auto"/>
        <w:left w:val="none" w:sz="0" w:space="0" w:color="auto"/>
        <w:bottom w:val="none" w:sz="0" w:space="0" w:color="auto"/>
        <w:right w:val="none" w:sz="0" w:space="0" w:color="auto"/>
      </w:divBdr>
    </w:div>
    <w:div w:id="1316645616">
      <w:bodyDiv w:val="1"/>
      <w:marLeft w:val="0"/>
      <w:marRight w:val="0"/>
      <w:marTop w:val="0"/>
      <w:marBottom w:val="0"/>
      <w:divBdr>
        <w:top w:val="none" w:sz="0" w:space="0" w:color="auto"/>
        <w:left w:val="none" w:sz="0" w:space="0" w:color="auto"/>
        <w:bottom w:val="none" w:sz="0" w:space="0" w:color="auto"/>
        <w:right w:val="none" w:sz="0" w:space="0" w:color="auto"/>
      </w:divBdr>
    </w:div>
    <w:div w:id="134594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0CED1B-0181-49C2-A2A5-DAEED1F00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2572</Words>
  <Characters>14667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DRAFT - Minutes</vt:lpstr>
    </vt:vector>
  </TitlesOfParts>
  <Company>Virginia IT Infrastructure Partnership</Company>
  <LinksUpToDate>false</LinksUpToDate>
  <CharactersWithSpaces>17205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 Minutes</dc:title>
  <dc:creator>Carisa Onorato</dc:creator>
  <cp:lastModifiedBy>Curtis, Amy (DFS)</cp:lastModifiedBy>
  <cp:revision>2</cp:revision>
  <cp:lastPrinted>2015-11-23T16:25:00Z</cp:lastPrinted>
  <dcterms:created xsi:type="dcterms:W3CDTF">2015-11-24T14:19:00Z</dcterms:created>
  <dcterms:modified xsi:type="dcterms:W3CDTF">2015-11-24T14:19:00Z</dcterms:modified>
</cp:coreProperties>
</file>